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4C87" w14:textId="77777777" w:rsidR="003C7631" w:rsidRPr="003C7631" w:rsidRDefault="003C7631" w:rsidP="0080018F">
      <w:pPr>
        <w:overflowPunct/>
        <w:autoSpaceDE/>
        <w:autoSpaceDN/>
        <w:adjustRightInd/>
        <w:spacing w:before="240" w:after="160" w:line="259" w:lineRule="auto"/>
        <w:jc w:val="center"/>
        <w:textAlignment w:val="auto"/>
        <w:rPr>
          <w:rFonts w:ascii="Calibri" w:eastAsia="Calibri" w:hAnsi="Calibri"/>
          <w:b/>
          <w:sz w:val="32"/>
          <w:szCs w:val="22"/>
          <w:lang w:val="en-US"/>
        </w:rPr>
      </w:pPr>
      <w:r w:rsidRPr="003C7631">
        <w:rPr>
          <w:rFonts w:ascii="Calibri" w:eastAsia="Calibri" w:hAnsi="Calibri"/>
          <w:b/>
          <w:sz w:val="32"/>
          <w:szCs w:val="22"/>
          <w:lang w:val="en-US"/>
        </w:rPr>
        <w:t>STATEMENT OF INTENT</w:t>
      </w:r>
    </w:p>
    <w:p w14:paraId="79ADC93B" w14:textId="77777777" w:rsidR="003C7631" w:rsidRPr="003C7631" w:rsidRDefault="003C7631" w:rsidP="00956539">
      <w:pPr>
        <w:pStyle w:val="PSRHeading4"/>
        <w:spacing w:before="360" w:after="480"/>
        <w:ind w:left="357" w:hanging="357"/>
        <w:rPr>
          <w:rFonts w:eastAsia="Calibri"/>
          <w:lang w:val="en-US"/>
        </w:rPr>
      </w:pPr>
      <w:r w:rsidRPr="003C7631">
        <w:rPr>
          <w:rFonts w:eastAsia="Calibri"/>
          <w:lang w:val="en-US"/>
        </w:rPr>
        <w:t>VISION</w:t>
      </w:r>
    </w:p>
    <w:p w14:paraId="1B0DD5BF" w14:textId="4EE13A15"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lang w:val="en-US"/>
        </w:rPr>
      </w:pPr>
      <w:r w:rsidRPr="003C7631">
        <w:rPr>
          <w:rFonts w:ascii="Calibri" w:eastAsia="Calibri" w:hAnsi="Calibri"/>
          <w:sz w:val="22"/>
          <w:szCs w:val="22"/>
          <w:lang w:val="en-US"/>
        </w:rPr>
        <w:t>The Professional Services Review</w:t>
      </w:r>
      <w:r w:rsidR="00F11F5B">
        <w:rPr>
          <w:rFonts w:ascii="Calibri" w:eastAsia="Calibri" w:hAnsi="Calibri"/>
          <w:sz w:val="22"/>
          <w:szCs w:val="22"/>
          <w:lang w:val="en-US"/>
        </w:rPr>
        <w:t xml:space="preserve"> (</w:t>
      </w:r>
      <w:r w:rsidR="00F11F5B" w:rsidRPr="00865001">
        <w:rPr>
          <w:rFonts w:ascii="Calibri" w:eastAsia="Calibri" w:hAnsi="Calibri"/>
          <w:b/>
          <w:sz w:val="22"/>
          <w:szCs w:val="22"/>
          <w:lang w:val="en-US"/>
        </w:rPr>
        <w:t>PSR</w:t>
      </w:r>
      <w:r w:rsidR="00F11F5B">
        <w:rPr>
          <w:rFonts w:ascii="Calibri" w:eastAsia="Calibri" w:hAnsi="Calibri"/>
          <w:sz w:val="22"/>
          <w:szCs w:val="22"/>
          <w:lang w:val="en-US"/>
        </w:rPr>
        <w:t>) scheme</w:t>
      </w:r>
      <w:r w:rsidRPr="003C7631">
        <w:rPr>
          <w:rFonts w:ascii="Calibri" w:eastAsia="Calibri" w:hAnsi="Calibri"/>
          <w:sz w:val="22"/>
          <w:szCs w:val="22"/>
          <w:lang w:val="en-US"/>
        </w:rPr>
        <w:t xml:space="preserve"> was established in 1994. </w:t>
      </w:r>
      <w:r w:rsidR="00E10A0F">
        <w:rPr>
          <w:rFonts w:ascii="Calibri" w:eastAsia="Calibri" w:hAnsi="Calibri"/>
          <w:sz w:val="22"/>
          <w:szCs w:val="22"/>
          <w:lang w:val="en-US"/>
        </w:rPr>
        <w:t>P</w:t>
      </w:r>
      <w:r w:rsidRPr="003C7631">
        <w:rPr>
          <w:rFonts w:ascii="Calibri" w:eastAsia="Calibri" w:hAnsi="Calibri"/>
          <w:sz w:val="22"/>
          <w:szCs w:val="22"/>
          <w:lang w:val="en-US"/>
        </w:rPr>
        <w:t xml:space="preserve">art </w:t>
      </w:r>
      <w:r w:rsidR="00E10A0F">
        <w:rPr>
          <w:rFonts w:ascii="Calibri" w:eastAsia="Calibri" w:hAnsi="Calibri"/>
          <w:sz w:val="22"/>
          <w:szCs w:val="22"/>
          <w:lang w:val="en-US"/>
        </w:rPr>
        <w:t xml:space="preserve">VAA </w:t>
      </w:r>
      <w:r w:rsidRPr="003C7631">
        <w:rPr>
          <w:rFonts w:ascii="Calibri" w:eastAsia="Calibri" w:hAnsi="Calibri"/>
          <w:sz w:val="22"/>
          <w:szCs w:val="22"/>
          <w:lang w:val="en-US"/>
        </w:rPr>
        <w:t xml:space="preserve">of the </w:t>
      </w:r>
      <w:r w:rsidRPr="00865001">
        <w:rPr>
          <w:rFonts w:ascii="Calibri" w:eastAsia="Calibri" w:hAnsi="Calibri"/>
          <w:i/>
          <w:sz w:val="22"/>
          <w:szCs w:val="22"/>
          <w:lang w:val="en-US"/>
        </w:rPr>
        <w:t>Health Insurance Act 1973</w:t>
      </w:r>
      <w:r w:rsidR="00F11F5B">
        <w:rPr>
          <w:rFonts w:ascii="Calibri" w:eastAsia="Calibri" w:hAnsi="Calibri"/>
          <w:sz w:val="22"/>
          <w:szCs w:val="22"/>
          <w:lang w:val="en-US"/>
        </w:rPr>
        <w:t xml:space="preserve"> </w:t>
      </w:r>
      <w:r w:rsidRPr="003C7631">
        <w:rPr>
          <w:rFonts w:ascii="Calibri" w:eastAsia="Calibri" w:hAnsi="Calibri"/>
          <w:sz w:val="22"/>
          <w:szCs w:val="22"/>
          <w:lang w:val="en-US"/>
        </w:rPr>
        <w:t>(HIA)</w:t>
      </w:r>
      <w:r w:rsidR="001A0C2F">
        <w:rPr>
          <w:rFonts w:ascii="Calibri" w:eastAsia="Calibri" w:hAnsi="Calibri"/>
          <w:sz w:val="22"/>
          <w:szCs w:val="22"/>
          <w:lang w:val="en-US"/>
        </w:rPr>
        <w:t>, which</w:t>
      </w:r>
      <w:r w:rsidRPr="003C7631">
        <w:rPr>
          <w:rFonts w:ascii="Calibri" w:eastAsia="Calibri" w:hAnsi="Calibri"/>
          <w:sz w:val="22"/>
          <w:szCs w:val="22"/>
          <w:lang w:val="en-US"/>
        </w:rPr>
        <w:t xml:space="preserve"> establishes the </w:t>
      </w:r>
      <w:r w:rsidR="00E10A0F">
        <w:rPr>
          <w:rFonts w:ascii="Calibri" w:eastAsia="Calibri" w:hAnsi="Calibri"/>
          <w:sz w:val="22"/>
          <w:szCs w:val="22"/>
          <w:lang w:val="en-US"/>
        </w:rPr>
        <w:t>a</w:t>
      </w:r>
      <w:r w:rsidRPr="003C7631">
        <w:rPr>
          <w:rFonts w:ascii="Calibri" w:eastAsia="Calibri" w:hAnsi="Calibri"/>
          <w:sz w:val="22"/>
          <w:szCs w:val="22"/>
          <w:lang w:val="en-US"/>
        </w:rPr>
        <w:t>gency</w:t>
      </w:r>
      <w:r w:rsidR="001A0C2F">
        <w:rPr>
          <w:rFonts w:ascii="Calibri" w:eastAsia="Calibri" w:hAnsi="Calibri"/>
          <w:sz w:val="22"/>
          <w:szCs w:val="22"/>
          <w:lang w:val="en-US"/>
        </w:rPr>
        <w:t>,</w:t>
      </w:r>
      <w:r w:rsidRPr="003C7631">
        <w:rPr>
          <w:rFonts w:ascii="Calibri" w:eastAsia="Calibri" w:hAnsi="Calibri"/>
          <w:sz w:val="22"/>
          <w:szCs w:val="22"/>
          <w:lang w:val="en-US"/>
        </w:rPr>
        <w:t xml:space="preserve"> defines the basic purpose of the scheme as protecting</w:t>
      </w:r>
      <w:r w:rsidR="004D39DC">
        <w:rPr>
          <w:rFonts w:ascii="Calibri" w:eastAsia="Calibri" w:hAnsi="Calibri"/>
          <w:sz w:val="22"/>
          <w:szCs w:val="22"/>
          <w:lang w:val="en-US"/>
        </w:rPr>
        <w:t>:</w:t>
      </w:r>
      <w:r w:rsidRPr="003C7631">
        <w:rPr>
          <w:rFonts w:ascii="Calibri" w:eastAsia="Calibri" w:hAnsi="Calibri"/>
          <w:sz w:val="22"/>
          <w:szCs w:val="22"/>
          <w:lang w:val="en-US"/>
        </w:rPr>
        <w:t xml:space="preserve"> </w:t>
      </w:r>
    </w:p>
    <w:p w14:paraId="7AECF1C8" w14:textId="4DC14B22" w:rsidR="003C7631" w:rsidRPr="003C7631" w:rsidRDefault="00274F09" w:rsidP="003C7631">
      <w:pPr>
        <w:overflowPunct/>
        <w:autoSpaceDE/>
        <w:autoSpaceDN/>
        <w:adjustRightInd/>
        <w:spacing w:after="160" w:line="259" w:lineRule="auto"/>
        <w:ind w:left="720"/>
        <w:textAlignment w:val="auto"/>
        <w:rPr>
          <w:rFonts w:ascii="Calibri" w:eastAsia="Calibri" w:hAnsi="Calibri"/>
          <w:b/>
          <w:i/>
          <w:sz w:val="22"/>
          <w:szCs w:val="22"/>
          <w:lang w:val="en-US"/>
        </w:rPr>
      </w:pPr>
      <w:r>
        <w:rPr>
          <w:rFonts w:ascii="Calibri" w:eastAsia="Calibri" w:hAnsi="Calibri"/>
          <w:b/>
          <w:i/>
          <w:sz w:val="22"/>
          <w:szCs w:val="22"/>
          <w:lang w:val="en-US"/>
        </w:rPr>
        <w:t>‘</w:t>
      </w:r>
      <w:proofErr w:type="gramStart"/>
      <w:r w:rsidR="003C7631" w:rsidRPr="003C7631">
        <w:rPr>
          <w:rFonts w:ascii="Calibri" w:eastAsia="Calibri" w:hAnsi="Calibri"/>
          <w:b/>
          <w:i/>
          <w:sz w:val="22"/>
          <w:szCs w:val="22"/>
          <w:lang w:val="en-US"/>
        </w:rPr>
        <w:t>patients</w:t>
      </w:r>
      <w:proofErr w:type="gramEnd"/>
      <w:r w:rsidR="003C7631" w:rsidRPr="003C7631">
        <w:rPr>
          <w:rFonts w:ascii="Calibri" w:eastAsia="Calibri" w:hAnsi="Calibri"/>
          <w:b/>
          <w:i/>
          <w:sz w:val="22"/>
          <w:szCs w:val="22"/>
          <w:lang w:val="en-US"/>
        </w:rPr>
        <w:t xml:space="preserve"> and the community in  general from the risks associated with inappropriate practice</w:t>
      </w:r>
      <w:r>
        <w:rPr>
          <w:rFonts w:ascii="Calibri" w:eastAsia="Calibri" w:hAnsi="Calibri"/>
          <w:b/>
          <w:i/>
          <w:sz w:val="22"/>
          <w:szCs w:val="22"/>
          <w:lang w:val="en-US"/>
        </w:rPr>
        <w:t>’</w:t>
      </w:r>
      <w:r w:rsidR="003C7631" w:rsidRPr="003C7631">
        <w:rPr>
          <w:rFonts w:ascii="Calibri" w:eastAsia="Calibri" w:hAnsi="Calibri"/>
          <w:sz w:val="22"/>
          <w:szCs w:val="22"/>
          <w:lang w:val="en-US"/>
        </w:rPr>
        <w:t xml:space="preserve"> </w:t>
      </w:r>
      <w:r w:rsidR="00F11F5B">
        <w:rPr>
          <w:rFonts w:ascii="Calibri" w:eastAsia="Calibri" w:hAnsi="Calibri"/>
          <w:sz w:val="22"/>
          <w:szCs w:val="22"/>
          <w:lang w:val="en-US"/>
        </w:rPr>
        <w:br/>
      </w:r>
      <w:r w:rsidR="004D39DC">
        <w:rPr>
          <w:rFonts w:ascii="Calibri" w:eastAsia="Calibri" w:hAnsi="Calibri"/>
          <w:sz w:val="22"/>
          <w:szCs w:val="22"/>
          <w:lang w:val="en-US"/>
        </w:rPr>
        <w:t>[</w:t>
      </w:r>
      <w:r w:rsidR="003C7631" w:rsidRPr="003C7631">
        <w:rPr>
          <w:rFonts w:ascii="Calibri" w:eastAsia="Calibri" w:hAnsi="Calibri"/>
          <w:sz w:val="22"/>
          <w:szCs w:val="22"/>
          <w:lang w:val="en-US"/>
        </w:rPr>
        <w:t>and</w:t>
      </w:r>
      <w:r w:rsidR="004D39DC">
        <w:rPr>
          <w:rFonts w:ascii="Calibri" w:eastAsia="Calibri" w:hAnsi="Calibri"/>
          <w:sz w:val="22"/>
          <w:szCs w:val="22"/>
          <w:lang w:val="en-US"/>
        </w:rPr>
        <w:t>]</w:t>
      </w:r>
      <w:r w:rsidR="004D39DC">
        <w:rPr>
          <w:rFonts w:ascii="Calibri" w:eastAsia="Calibri" w:hAnsi="Calibri"/>
          <w:b/>
          <w:i/>
          <w:sz w:val="22"/>
          <w:szCs w:val="22"/>
          <w:lang w:val="en-US"/>
        </w:rPr>
        <w:t>…</w:t>
      </w:r>
      <w:r>
        <w:rPr>
          <w:rFonts w:ascii="Calibri" w:eastAsia="Calibri" w:hAnsi="Calibri"/>
          <w:b/>
          <w:i/>
          <w:sz w:val="22"/>
          <w:szCs w:val="22"/>
          <w:lang w:val="en-US"/>
        </w:rPr>
        <w:t>‘</w:t>
      </w:r>
      <w:r w:rsidR="003C7631" w:rsidRPr="003C7631">
        <w:rPr>
          <w:rFonts w:ascii="Calibri" w:eastAsia="Calibri" w:hAnsi="Calibri"/>
          <w:b/>
          <w:i/>
          <w:sz w:val="22"/>
          <w:szCs w:val="22"/>
          <w:lang w:val="en-US"/>
        </w:rPr>
        <w:t>the Commonwealth from having to meet the cost of services provided as a resu</w:t>
      </w:r>
      <w:r>
        <w:rPr>
          <w:rFonts w:ascii="Calibri" w:eastAsia="Calibri" w:hAnsi="Calibri"/>
          <w:b/>
          <w:i/>
          <w:sz w:val="22"/>
          <w:szCs w:val="22"/>
          <w:lang w:val="en-US"/>
        </w:rPr>
        <w:t>lt of inappropriate practice.’</w:t>
      </w:r>
    </w:p>
    <w:p w14:paraId="6F047A2B" w14:textId="32C7EA0B"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is an important part of the wider framework established to safeguard the Australian public from the risk and cost of inappropriate practice within the Australian Government’s Medicare Benefits, Dental Benefits, and Pharmaceutical Benefits Schemes. Whilst PSR is an independent </w:t>
      </w:r>
      <w:r w:rsidR="00F11F5B">
        <w:rPr>
          <w:rFonts w:ascii="Calibri" w:eastAsia="Calibri" w:hAnsi="Calibri"/>
          <w:sz w:val="22"/>
          <w:szCs w:val="22"/>
        </w:rPr>
        <w:t>a</w:t>
      </w:r>
      <w:r w:rsidRPr="003C7631">
        <w:rPr>
          <w:rFonts w:ascii="Calibri" w:eastAsia="Calibri" w:hAnsi="Calibri"/>
          <w:sz w:val="22"/>
          <w:szCs w:val="22"/>
        </w:rPr>
        <w:t xml:space="preserve">gency, it remains mindful of the </w:t>
      </w:r>
      <w:r w:rsidR="008301E8">
        <w:rPr>
          <w:rFonts w:ascii="Calibri" w:eastAsia="Calibri" w:hAnsi="Calibri"/>
          <w:sz w:val="22"/>
          <w:szCs w:val="22"/>
        </w:rPr>
        <w:t xml:space="preserve">specific role it plays in the </w:t>
      </w:r>
      <w:r w:rsidRPr="003C7631">
        <w:rPr>
          <w:rFonts w:ascii="Calibri" w:eastAsia="Calibri" w:hAnsi="Calibri"/>
          <w:sz w:val="22"/>
          <w:szCs w:val="22"/>
        </w:rPr>
        <w:t>broader compliance framework</w:t>
      </w:r>
      <w:r w:rsidR="008301E8">
        <w:rPr>
          <w:rFonts w:ascii="Calibri" w:eastAsia="Calibri" w:hAnsi="Calibri"/>
          <w:sz w:val="22"/>
          <w:szCs w:val="22"/>
        </w:rPr>
        <w:t>,</w:t>
      </w:r>
      <w:r w:rsidRPr="003C7631">
        <w:rPr>
          <w:rFonts w:ascii="Calibri" w:eastAsia="Calibri" w:hAnsi="Calibri"/>
          <w:sz w:val="22"/>
          <w:szCs w:val="22"/>
        </w:rPr>
        <w:t xml:space="preserve"> and works actively with the Department of Health</w:t>
      </w:r>
      <w:r w:rsidR="008301E8">
        <w:rPr>
          <w:rFonts w:ascii="Calibri" w:eastAsia="Calibri" w:hAnsi="Calibri"/>
          <w:sz w:val="22"/>
          <w:szCs w:val="22"/>
        </w:rPr>
        <w:t xml:space="preserve"> (</w:t>
      </w:r>
      <w:r w:rsidR="008301E8">
        <w:rPr>
          <w:rFonts w:ascii="Calibri" w:eastAsia="Calibri" w:hAnsi="Calibri"/>
          <w:b/>
          <w:sz w:val="22"/>
          <w:szCs w:val="22"/>
        </w:rPr>
        <w:t>Department)</w:t>
      </w:r>
      <w:r w:rsidRPr="003C7631">
        <w:rPr>
          <w:rFonts w:ascii="Calibri" w:eastAsia="Calibri" w:hAnsi="Calibri"/>
          <w:sz w:val="22"/>
          <w:szCs w:val="22"/>
        </w:rPr>
        <w:t xml:space="preserve"> and stakeholders to focus on consultation and compliance with </w:t>
      </w:r>
      <w:r w:rsidR="00F11F5B">
        <w:rPr>
          <w:rFonts w:ascii="Calibri" w:eastAsia="Calibri" w:hAnsi="Calibri"/>
          <w:sz w:val="22"/>
          <w:szCs w:val="22"/>
        </w:rPr>
        <w:t>g</w:t>
      </w:r>
      <w:r w:rsidRPr="003C7631">
        <w:rPr>
          <w:rFonts w:ascii="Calibri" w:eastAsia="Calibri" w:hAnsi="Calibri"/>
          <w:sz w:val="22"/>
          <w:szCs w:val="22"/>
        </w:rPr>
        <w:t>overnment policy.</w:t>
      </w:r>
    </w:p>
    <w:p w14:paraId="19CFAED9" w14:textId="0B6C414E" w:rsidR="003C7631" w:rsidRPr="00865001" w:rsidRDefault="002746CC" w:rsidP="00F508AB">
      <w:pPr>
        <w:overflowPunct/>
        <w:autoSpaceDE/>
        <w:autoSpaceDN/>
        <w:adjustRightInd/>
        <w:spacing w:line="259" w:lineRule="auto"/>
        <w:textAlignment w:val="auto"/>
        <w:rPr>
          <w:rFonts w:ascii="Calibri" w:eastAsia="Calibri" w:hAnsi="Calibri"/>
          <w:b/>
          <w:sz w:val="22"/>
          <w:szCs w:val="22"/>
        </w:rPr>
      </w:pPr>
      <w:r>
        <w:rPr>
          <w:rFonts w:ascii="Calibri" w:eastAsia="Calibri" w:hAnsi="Calibri"/>
          <w:b/>
          <w:sz w:val="22"/>
          <w:szCs w:val="22"/>
        </w:rPr>
        <w:t>PSR’s vision and values</w:t>
      </w:r>
    </w:p>
    <w:p w14:paraId="4F736B9C" w14:textId="6A6D7B89"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Our vision represents the overarching goal of PSR as a contributing agency to Australia’s health system: </w:t>
      </w:r>
    </w:p>
    <w:p w14:paraId="19F42308" w14:textId="5B302874" w:rsidR="003C7631" w:rsidRPr="003C7631" w:rsidRDefault="00274F09" w:rsidP="003C7631">
      <w:pPr>
        <w:overflowPunct/>
        <w:autoSpaceDE/>
        <w:autoSpaceDN/>
        <w:adjustRightInd/>
        <w:spacing w:after="160" w:line="259" w:lineRule="auto"/>
        <w:ind w:left="720"/>
        <w:textAlignment w:val="auto"/>
        <w:rPr>
          <w:rFonts w:ascii="Calibri" w:eastAsia="Calibri" w:hAnsi="Calibri"/>
          <w:b/>
          <w:i/>
          <w:sz w:val="22"/>
          <w:szCs w:val="22"/>
        </w:rPr>
      </w:pPr>
      <w:r>
        <w:rPr>
          <w:rFonts w:ascii="Calibri" w:eastAsia="Calibri" w:hAnsi="Calibri"/>
          <w:b/>
          <w:i/>
          <w:sz w:val="22"/>
          <w:szCs w:val="22"/>
        </w:rPr>
        <w:t>‘</w:t>
      </w:r>
      <w:r w:rsidR="003C7631" w:rsidRPr="003C7631">
        <w:rPr>
          <w:rFonts w:ascii="Calibri" w:eastAsia="Calibri" w:hAnsi="Calibri"/>
          <w:b/>
          <w:i/>
          <w:sz w:val="22"/>
          <w:szCs w:val="22"/>
        </w:rPr>
        <w:t xml:space="preserve">Excellence in ensuring Australia’s health system meets the expectations </w:t>
      </w:r>
      <w:r>
        <w:rPr>
          <w:rFonts w:ascii="Calibri" w:eastAsia="Calibri" w:hAnsi="Calibri"/>
          <w:b/>
          <w:i/>
          <w:sz w:val="22"/>
          <w:szCs w:val="22"/>
        </w:rPr>
        <w:t>of the Government and community’</w:t>
      </w:r>
    </w:p>
    <w:p w14:paraId="39FDD3D8" w14:textId="3232D527" w:rsidR="003C7631" w:rsidRPr="003C7631" w:rsidRDefault="00F11F5B"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Under</w:t>
      </w:r>
      <w:r>
        <w:rPr>
          <w:rFonts w:ascii="Calibri" w:eastAsia="Calibri" w:hAnsi="Calibri"/>
          <w:sz w:val="22"/>
          <w:szCs w:val="22"/>
        </w:rPr>
        <w:t>pinn</w:t>
      </w:r>
      <w:r w:rsidRPr="003C7631">
        <w:rPr>
          <w:rFonts w:ascii="Calibri" w:eastAsia="Calibri" w:hAnsi="Calibri"/>
          <w:sz w:val="22"/>
          <w:szCs w:val="22"/>
        </w:rPr>
        <w:t xml:space="preserve">ing </w:t>
      </w:r>
      <w:r w:rsidR="003C7631" w:rsidRPr="003C7631">
        <w:rPr>
          <w:rFonts w:ascii="Calibri" w:eastAsia="Calibri" w:hAnsi="Calibri"/>
          <w:sz w:val="22"/>
          <w:szCs w:val="22"/>
        </w:rPr>
        <w:t>this vision are value statements that guide the activit</w:t>
      </w:r>
      <w:r w:rsidR="002746CC">
        <w:rPr>
          <w:rFonts w:ascii="Calibri" w:eastAsia="Calibri" w:hAnsi="Calibri"/>
          <w:sz w:val="22"/>
          <w:szCs w:val="22"/>
        </w:rPr>
        <w:t>ies</w:t>
      </w:r>
      <w:r w:rsidR="003C7631" w:rsidRPr="003C7631">
        <w:rPr>
          <w:rFonts w:ascii="Calibri" w:eastAsia="Calibri" w:hAnsi="Calibri"/>
          <w:sz w:val="22"/>
          <w:szCs w:val="22"/>
        </w:rPr>
        <w:t xml:space="preserve"> of the </w:t>
      </w:r>
      <w:r>
        <w:rPr>
          <w:rFonts w:ascii="Calibri" w:eastAsia="Calibri" w:hAnsi="Calibri"/>
          <w:sz w:val="22"/>
          <w:szCs w:val="22"/>
        </w:rPr>
        <w:t>a</w:t>
      </w:r>
      <w:r w:rsidR="003C7631" w:rsidRPr="003C7631">
        <w:rPr>
          <w:rFonts w:ascii="Calibri" w:eastAsia="Calibri" w:hAnsi="Calibri"/>
          <w:sz w:val="22"/>
          <w:szCs w:val="22"/>
        </w:rPr>
        <w:t xml:space="preserve">gency. </w:t>
      </w:r>
    </w:p>
    <w:p w14:paraId="59B4DCE9" w14:textId="710F4F28"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recognises its responsibilities as a part of the broader Australian Public Service (APS). As a statutory agency, PSR is committed to the Australian Public Service Values and the Code of Conduct outlined in the </w:t>
      </w:r>
      <w:r w:rsidRPr="00865001">
        <w:rPr>
          <w:rFonts w:ascii="Calibri" w:eastAsia="Calibri" w:hAnsi="Calibri"/>
          <w:i/>
          <w:sz w:val="22"/>
          <w:szCs w:val="22"/>
        </w:rPr>
        <w:t>Public Service Act 1999</w:t>
      </w:r>
      <w:r w:rsidRPr="003C7631">
        <w:rPr>
          <w:rFonts w:ascii="Calibri" w:eastAsia="Calibri" w:hAnsi="Calibri"/>
          <w:sz w:val="22"/>
          <w:szCs w:val="22"/>
        </w:rPr>
        <w:t xml:space="preserve">. </w:t>
      </w:r>
    </w:p>
    <w:p w14:paraId="481C7B63" w14:textId="602476F2" w:rsidR="003C7631" w:rsidRPr="003C7631" w:rsidRDefault="003C7631" w:rsidP="00C32543">
      <w:pPr>
        <w:overflowPunct/>
        <w:autoSpaceDE/>
        <w:autoSpaceDN/>
        <w:adjustRightInd/>
        <w:spacing w:after="160" w:line="259" w:lineRule="auto"/>
        <w:contextualSpacing/>
        <w:textAlignment w:val="auto"/>
        <w:rPr>
          <w:rFonts w:ascii="Calibri" w:eastAsia="Calibri" w:hAnsi="Calibri"/>
          <w:sz w:val="22"/>
          <w:szCs w:val="22"/>
        </w:rPr>
      </w:pPr>
      <w:r w:rsidRPr="003C7631">
        <w:rPr>
          <w:rFonts w:ascii="Calibri" w:eastAsia="Calibri" w:hAnsi="Calibri"/>
          <w:sz w:val="22"/>
          <w:szCs w:val="22"/>
        </w:rPr>
        <w:t xml:space="preserve">The </w:t>
      </w:r>
      <w:r w:rsidR="00F11F5B">
        <w:rPr>
          <w:rFonts w:ascii="Calibri" w:eastAsia="Calibri" w:hAnsi="Calibri"/>
          <w:sz w:val="22"/>
          <w:szCs w:val="22"/>
        </w:rPr>
        <w:t>a</w:t>
      </w:r>
      <w:r w:rsidRPr="003C7631">
        <w:rPr>
          <w:rFonts w:ascii="Calibri" w:eastAsia="Calibri" w:hAnsi="Calibri"/>
          <w:sz w:val="22"/>
          <w:szCs w:val="22"/>
        </w:rPr>
        <w:t xml:space="preserve">gency vision </w:t>
      </w:r>
      <w:r w:rsidR="008301E8">
        <w:rPr>
          <w:rFonts w:ascii="Calibri" w:eastAsia="Calibri" w:hAnsi="Calibri"/>
          <w:sz w:val="22"/>
          <w:szCs w:val="22"/>
        </w:rPr>
        <w:t xml:space="preserve">is </w:t>
      </w:r>
      <w:r w:rsidR="00DA1E22">
        <w:rPr>
          <w:rFonts w:ascii="Calibri" w:eastAsia="Calibri" w:hAnsi="Calibri"/>
          <w:sz w:val="22"/>
          <w:szCs w:val="22"/>
        </w:rPr>
        <w:t>reinforc</w:t>
      </w:r>
      <w:r w:rsidR="008301E8">
        <w:rPr>
          <w:rFonts w:ascii="Calibri" w:eastAsia="Calibri" w:hAnsi="Calibri"/>
          <w:sz w:val="22"/>
          <w:szCs w:val="22"/>
        </w:rPr>
        <w:t xml:space="preserve">ed by our values, of being ‘Fair, transparent and professional’ in the way we operate. </w:t>
      </w:r>
    </w:p>
    <w:p w14:paraId="07B65824" w14:textId="492DACCD" w:rsidR="003C7631" w:rsidRPr="003C7631" w:rsidRDefault="003C7631" w:rsidP="00F508AB">
      <w:pPr>
        <w:overflowPunct/>
        <w:autoSpaceDE/>
        <w:autoSpaceDN/>
        <w:adjustRightInd/>
        <w:spacing w:before="240" w:line="259" w:lineRule="auto"/>
        <w:textAlignment w:val="auto"/>
        <w:rPr>
          <w:rFonts w:ascii="Calibri" w:eastAsia="Calibri" w:hAnsi="Calibri"/>
          <w:sz w:val="22"/>
          <w:szCs w:val="22"/>
        </w:rPr>
      </w:pPr>
      <w:r w:rsidRPr="003C7631">
        <w:rPr>
          <w:rFonts w:ascii="Calibri" w:eastAsia="Calibri" w:hAnsi="Calibri"/>
          <w:sz w:val="22"/>
          <w:szCs w:val="22"/>
        </w:rPr>
        <w:t xml:space="preserve"> To achieve these values PSR commits to</w:t>
      </w:r>
      <w:r w:rsidR="009E2CFB">
        <w:rPr>
          <w:rFonts w:ascii="Calibri" w:eastAsia="Calibri" w:hAnsi="Calibri"/>
          <w:sz w:val="22"/>
          <w:szCs w:val="22"/>
        </w:rPr>
        <w:t>:</w:t>
      </w:r>
    </w:p>
    <w:p w14:paraId="79600204" w14:textId="2E5FE53F" w:rsidR="003C7631" w:rsidRPr="003C7631" w:rsidRDefault="008301E8"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p</w:t>
      </w:r>
      <w:r w:rsidR="003C7631" w:rsidRPr="003C7631">
        <w:rPr>
          <w:rFonts w:ascii="Calibri" w:eastAsia="Calibri" w:hAnsi="Calibri"/>
          <w:sz w:val="22"/>
          <w:szCs w:val="22"/>
        </w:rPr>
        <w:t>rocedural fairness</w:t>
      </w:r>
    </w:p>
    <w:p w14:paraId="733A4258" w14:textId="2FEA6C84" w:rsidR="003C7631" w:rsidRPr="003C7631" w:rsidRDefault="008301E8"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a</w:t>
      </w:r>
      <w:r w:rsidR="003C7631" w:rsidRPr="003C7631">
        <w:rPr>
          <w:rFonts w:ascii="Calibri" w:eastAsia="Calibri" w:hAnsi="Calibri"/>
          <w:sz w:val="22"/>
          <w:szCs w:val="22"/>
        </w:rPr>
        <w:t xml:space="preserve"> consistent approach to reviews</w:t>
      </w:r>
    </w:p>
    <w:p w14:paraId="1D102394" w14:textId="4F51DA7F" w:rsidR="003C7631" w:rsidRPr="003C7631" w:rsidRDefault="008301E8"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t</w:t>
      </w:r>
      <w:r w:rsidR="003C7631" w:rsidRPr="003C7631">
        <w:rPr>
          <w:rFonts w:ascii="Calibri" w:eastAsia="Calibri" w:hAnsi="Calibri"/>
          <w:sz w:val="22"/>
          <w:szCs w:val="22"/>
        </w:rPr>
        <w:t>o be effective and impartial in decision-making</w:t>
      </w:r>
    </w:p>
    <w:p w14:paraId="0F31B71D" w14:textId="12380C1D" w:rsidR="003C7631" w:rsidRPr="003C7631" w:rsidRDefault="008301E8"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t</w:t>
      </w:r>
      <w:r w:rsidR="003C7631" w:rsidRPr="003C7631">
        <w:rPr>
          <w:rFonts w:ascii="Calibri" w:eastAsia="Calibri" w:hAnsi="Calibri"/>
          <w:sz w:val="22"/>
          <w:szCs w:val="22"/>
        </w:rPr>
        <w:t>o have transparency in outcomes</w:t>
      </w:r>
    </w:p>
    <w:p w14:paraId="014A9EEB" w14:textId="0B355D13" w:rsidR="003C7631" w:rsidRPr="003C7631" w:rsidRDefault="008301E8"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t</w:t>
      </w:r>
      <w:r w:rsidR="003C7631" w:rsidRPr="003C7631">
        <w:rPr>
          <w:rFonts w:ascii="Calibri" w:eastAsia="Calibri" w:hAnsi="Calibri"/>
          <w:sz w:val="22"/>
          <w:szCs w:val="22"/>
        </w:rPr>
        <w:t>o explain the process to stakeholders</w:t>
      </w:r>
    </w:p>
    <w:p w14:paraId="26BF4682" w14:textId="19405FA5" w:rsidR="003C7631" w:rsidRPr="003C7631" w:rsidRDefault="008301E8"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t</w:t>
      </w:r>
      <w:r w:rsidR="003C7631" w:rsidRPr="003C7631">
        <w:rPr>
          <w:rFonts w:ascii="Calibri" w:eastAsia="Calibri" w:hAnsi="Calibri"/>
          <w:sz w:val="22"/>
          <w:szCs w:val="22"/>
        </w:rPr>
        <w:t>o inform those under review of their rights and responsibilities</w:t>
      </w:r>
    </w:p>
    <w:p w14:paraId="1300B85B" w14:textId="55A20A31" w:rsidR="003C7631" w:rsidRPr="003C7631" w:rsidRDefault="008301E8"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t</w:t>
      </w:r>
      <w:r w:rsidR="003C7631" w:rsidRPr="003C7631">
        <w:rPr>
          <w:rFonts w:ascii="Calibri" w:eastAsia="Calibri" w:hAnsi="Calibri"/>
          <w:sz w:val="22"/>
          <w:szCs w:val="22"/>
        </w:rPr>
        <w:t>o share information about the scheme, our outcomes and activities</w:t>
      </w:r>
    </w:p>
    <w:p w14:paraId="51102BC9" w14:textId="45EC9A46" w:rsidR="00F508AB" w:rsidRPr="00E10A0F" w:rsidRDefault="008301E8" w:rsidP="00865001">
      <w:pPr>
        <w:numPr>
          <w:ilvl w:val="0"/>
          <w:numId w:val="30"/>
        </w:numPr>
        <w:overflowPunct/>
        <w:autoSpaceDE/>
        <w:autoSpaceDN/>
        <w:adjustRightInd/>
        <w:spacing w:after="160" w:line="259" w:lineRule="auto"/>
        <w:ind w:left="714" w:hanging="357"/>
        <w:textAlignment w:val="auto"/>
        <w:rPr>
          <w:rFonts w:ascii="Calibri" w:eastAsia="Calibri" w:hAnsi="Calibri"/>
          <w:sz w:val="22"/>
          <w:szCs w:val="22"/>
          <w:u w:val="single"/>
        </w:rPr>
      </w:pPr>
      <w:proofErr w:type="gramStart"/>
      <w:r>
        <w:rPr>
          <w:rFonts w:ascii="Calibri" w:eastAsia="Calibri" w:hAnsi="Calibri"/>
          <w:sz w:val="22"/>
          <w:szCs w:val="22"/>
        </w:rPr>
        <w:t>t</w:t>
      </w:r>
      <w:r w:rsidR="003C7631" w:rsidRPr="003C7631">
        <w:rPr>
          <w:rFonts w:ascii="Calibri" w:eastAsia="Calibri" w:hAnsi="Calibri"/>
          <w:sz w:val="22"/>
          <w:szCs w:val="22"/>
        </w:rPr>
        <w:t>o</w:t>
      </w:r>
      <w:proofErr w:type="gramEnd"/>
      <w:r w:rsidR="003C7631" w:rsidRPr="003C7631">
        <w:rPr>
          <w:rFonts w:ascii="Calibri" w:eastAsia="Calibri" w:hAnsi="Calibri"/>
          <w:sz w:val="22"/>
          <w:szCs w:val="22"/>
        </w:rPr>
        <w:t xml:space="preserve"> comply with Commonwealth legislative requirements and expectations</w:t>
      </w:r>
      <w:r>
        <w:rPr>
          <w:rFonts w:ascii="Calibri" w:eastAsia="Calibri" w:hAnsi="Calibri"/>
          <w:sz w:val="22"/>
          <w:szCs w:val="22"/>
        </w:rPr>
        <w:t>.</w:t>
      </w:r>
    </w:p>
    <w:p w14:paraId="18845802" w14:textId="117BAFB3" w:rsidR="003C7631" w:rsidRPr="00865001" w:rsidRDefault="003C7631" w:rsidP="009E2CFB">
      <w:pPr>
        <w:overflowPunct/>
        <w:autoSpaceDE/>
        <w:autoSpaceDN/>
        <w:adjustRightInd/>
        <w:spacing w:line="259" w:lineRule="auto"/>
        <w:textAlignment w:val="auto"/>
        <w:rPr>
          <w:rFonts w:ascii="Calibri" w:eastAsia="Calibri" w:hAnsi="Calibri"/>
          <w:b/>
          <w:sz w:val="22"/>
          <w:szCs w:val="22"/>
        </w:rPr>
      </w:pPr>
      <w:r w:rsidRPr="00865001">
        <w:rPr>
          <w:rFonts w:ascii="Calibri" w:eastAsia="Calibri" w:hAnsi="Calibri"/>
          <w:b/>
          <w:sz w:val="22"/>
          <w:szCs w:val="22"/>
        </w:rPr>
        <w:t>Procedural fairness</w:t>
      </w:r>
    </w:p>
    <w:p w14:paraId="28310428" w14:textId="1CEA8403" w:rsidR="003C7631" w:rsidRPr="00D60499" w:rsidRDefault="0057132E" w:rsidP="003C7631">
      <w:pPr>
        <w:overflowPunct/>
        <w:autoSpaceDE/>
        <w:autoSpaceDN/>
        <w:adjustRightInd/>
        <w:spacing w:after="160" w:line="259" w:lineRule="auto"/>
        <w:textAlignment w:val="auto"/>
        <w:rPr>
          <w:rFonts w:ascii="Calibri" w:eastAsia="Calibri" w:hAnsi="Calibri"/>
          <w:b/>
          <w:sz w:val="22"/>
          <w:szCs w:val="22"/>
        </w:rPr>
      </w:pPr>
      <w:r>
        <w:rPr>
          <w:rFonts w:ascii="Calibri" w:eastAsia="Calibri" w:hAnsi="Calibri"/>
          <w:sz w:val="22"/>
          <w:szCs w:val="22"/>
        </w:rPr>
        <w:t xml:space="preserve">PSR is a late stage of the compliance pathway designed to safeguard the Medicare, Dental and Pharmaceutical Benefits Schemes. </w:t>
      </w:r>
      <w:r w:rsidR="003C7631" w:rsidRPr="003C7631">
        <w:rPr>
          <w:rFonts w:ascii="Calibri" w:eastAsia="Calibri" w:hAnsi="Calibri"/>
          <w:sz w:val="22"/>
          <w:szCs w:val="22"/>
        </w:rPr>
        <w:t xml:space="preserve">The </w:t>
      </w:r>
      <w:r w:rsidR="00F11F5B">
        <w:rPr>
          <w:rFonts w:ascii="Calibri" w:eastAsia="Calibri" w:hAnsi="Calibri"/>
          <w:sz w:val="22"/>
          <w:szCs w:val="22"/>
        </w:rPr>
        <w:t>c</w:t>
      </w:r>
      <w:r w:rsidR="003C7631" w:rsidRPr="003C7631">
        <w:rPr>
          <w:rFonts w:ascii="Calibri" w:eastAsia="Calibri" w:hAnsi="Calibri"/>
          <w:sz w:val="22"/>
          <w:szCs w:val="22"/>
        </w:rPr>
        <w:t xml:space="preserve">ompliance pathway starts within the Department, and only a small number of </w:t>
      </w:r>
      <w:r>
        <w:rPr>
          <w:rFonts w:ascii="Calibri" w:eastAsia="Calibri" w:hAnsi="Calibri"/>
          <w:sz w:val="22"/>
          <w:szCs w:val="22"/>
        </w:rPr>
        <w:t xml:space="preserve">the </w:t>
      </w:r>
      <w:r w:rsidR="003C7631" w:rsidRPr="003C7631">
        <w:rPr>
          <w:rFonts w:ascii="Calibri" w:eastAsia="Calibri" w:hAnsi="Calibri"/>
          <w:sz w:val="22"/>
          <w:szCs w:val="22"/>
        </w:rPr>
        <w:t xml:space="preserve">practitioners screened and reviewed by the Department are referred </w:t>
      </w:r>
      <w:r>
        <w:rPr>
          <w:rFonts w:ascii="Calibri" w:eastAsia="Calibri" w:hAnsi="Calibri"/>
          <w:sz w:val="22"/>
          <w:szCs w:val="22"/>
        </w:rPr>
        <w:t xml:space="preserve">on </w:t>
      </w:r>
      <w:r w:rsidR="003C7631" w:rsidRPr="003C7631">
        <w:rPr>
          <w:rFonts w:ascii="Calibri" w:eastAsia="Calibri" w:hAnsi="Calibri"/>
          <w:sz w:val="22"/>
          <w:szCs w:val="22"/>
        </w:rPr>
        <w:t xml:space="preserve">to PSR. Figure 1A </w:t>
      </w:r>
      <w:r>
        <w:rPr>
          <w:rFonts w:ascii="Calibri" w:eastAsia="Calibri" w:hAnsi="Calibri"/>
          <w:sz w:val="22"/>
          <w:szCs w:val="22"/>
        </w:rPr>
        <w:lastRenderedPageBreak/>
        <w:t>depict</w:t>
      </w:r>
      <w:r w:rsidRPr="003C7631">
        <w:rPr>
          <w:rFonts w:ascii="Calibri" w:eastAsia="Calibri" w:hAnsi="Calibri"/>
          <w:sz w:val="22"/>
          <w:szCs w:val="22"/>
        </w:rPr>
        <w:t xml:space="preserve">s </w:t>
      </w:r>
      <w:r w:rsidR="003C7631" w:rsidRPr="003C7631">
        <w:rPr>
          <w:rFonts w:ascii="Calibri" w:eastAsia="Calibri" w:hAnsi="Calibri"/>
          <w:sz w:val="22"/>
          <w:szCs w:val="22"/>
        </w:rPr>
        <w:t xml:space="preserve">the integrated </w:t>
      </w:r>
      <w:r>
        <w:rPr>
          <w:rFonts w:ascii="Calibri" w:eastAsia="Calibri" w:hAnsi="Calibri"/>
          <w:sz w:val="22"/>
          <w:szCs w:val="22"/>
        </w:rPr>
        <w:t>c</w:t>
      </w:r>
      <w:r w:rsidR="003C7631" w:rsidRPr="003C7631">
        <w:rPr>
          <w:rFonts w:ascii="Calibri" w:eastAsia="Calibri" w:hAnsi="Calibri"/>
          <w:sz w:val="22"/>
          <w:szCs w:val="22"/>
        </w:rPr>
        <w:t xml:space="preserve">ompliance strategy, </w:t>
      </w:r>
      <w:r w:rsidR="004D39DC">
        <w:rPr>
          <w:rFonts w:ascii="Calibri" w:eastAsia="Calibri" w:hAnsi="Calibri"/>
          <w:sz w:val="22"/>
          <w:szCs w:val="22"/>
        </w:rPr>
        <w:t xml:space="preserve">which </w:t>
      </w:r>
      <w:r w:rsidR="003C7631" w:rsidRPr="003C7631">
        <w:rPr>
          <w:rFonts w:ascii="Calibri" w:eastAsia="Calibri" w:hAnsi="Calibri"/>
          <w:sz w:val="22"/>
          <w:szCs w:val="22"/>
        </w:rPr>
        <w:t>inc</w:t>
      </w:r>
      <w:r>
        <w:rPr>
          <w:rFonts w:ascii="Calibri" w:eastAsia="Calibri" w:hAnsi="Calibri"/>
          <w:sz w:val="22"/>
          <w:szCs w:val="22"/>
        </w:rPr>
        <w:t>l</w:t>
      </w:r>
      <w:r w:rsidR="003C7631" w:rsidRPr="003C7631">
        <w:rPr>
          <w:rFonts w:ascii="Calibri" w:eastAsia="Calibri" w:hAnsi="Calibri"/>
          <w:sz w:val="22"/>
          <w:szCs w:val="22"/>
        </w:rPr>
        <w:t xml:space="preserve">udes educational letters, departmental reviews and audits.  </w:t>
      </w:r>
    </w:p>
    <w:p w14:paraId="4825758E" w14:textId="53C757A5" w:rsidR="00D60499" w:rsidRDefault="00D60499" w:rsidP="003C7631">
      <w:pPr>
        <w:overflowPunct/>
        <w:autoSpaceDE/>
        <w:autoSpaceDN/>
        <w:adjustRightInd/>
        <w:spacing w:after="160" w:line="259" w:lineRule="auto"/>
        <w:textAlignment w:val="auto"/>
        <w:rPr>
          <w:rFonts w:ascii="Calibri" w:eastAsia="Calibri" w:hAnsi="Calibri"/>
          <w:b/>
          <w:sz w:val="22"/>
          <w:szCs w:val="22"/>
        </w:rPr>
      </w:pPr>
      <w:r w:rsidRPr="00D60499">
        <w:rPr>
          <w:rFonts w:ascii="Calibri" w:eastAsia="Calibri" w:hAnsi="Calibri"/>
          <w:b/>
          <w:sz w:val="22"/>
          <w:szCs w:val="22"/>
        </w:rPr>
        <w:t>Figure 1</w:t>
      </w:r>
      <w:r w:rsidR="00865001">
        <w:rPr>
          <w:rFonts w:ascii="Calibri" w:eastAsia="Calibri" w:hAnsi="Calibri"/>
          <w:b/>
          <w:sz w:val="22"/>
          <w:szCs w:val="22"/>
        </w:rPr>
        <w:t>A</w:t>
      </w:r>
    </w:p>
    <w:p w14:paraId="08FEC3C0" w14:textId="4116802E" w:rsidR="00D60499" w:rsidRPr="00D60499" w:rsidRDefault="0080018F" w:rsidP="003C7631">
      <w:pPr>
        <w:overflowPunct/>
        <w:autoSpaceDE/>
        <w:autoSpaceDN/>
        <w:adjustRightInd/>
        <w:spacing w:after="160" w:line="259" w:lineRule="auto"/>
        <w:textAlignment w:val="auto"/>
        <w:rPr>
          <w:rFonts w:ascii="Calibri" w:eastAsia="Calibri" w:hAnsi="Calibri"/>
          <w:b/>
          <w:sz w:val="22"/>
          <w:szCs w:val="22"/>
        </w:rPr>
      </w:pPr>
      <w:r w:rsidRPr="003C7631">
        <w:rPr>
          <w:rFonts w:ascii="Calibri" w:eastAsia="Calibri" w:hAnsi="Calibri"/>
          <w:noProof/>
          <w:sz w:val="22"/>
          <w:szCs w:val="22"/>
          <w:lang w:eastAsia="en-AU"/>
        </w:rPr>
        <w:drawing>
          <wp:anchor distT="0" distB="0" distL="114300" distR="114300" simplePos="0" relativeHeight="251659264" behindDoc="0" locked="0" layoutInCell="1" allowOverlap="1" wp14:anchorId="23D6AF52" wp14:editId="44DB06CB">
            <wp:simplePos x="0" y="0"/>
            <wp:positionH relativeFrom="margin">
              <wp:align>center</wp:align>
            </wp:positionH>
            <wp:positionV relativeFrom="paragraph">
              <wp:posOffset>401907</wp:posOffset>
            </wp:positionV>
            <wp:extent cx="6042025" cy="3411220"/>
            <wp:effectExtent l="0" t="0" r="0" b="0"/>
            <wp:wrapTopAndBottom/>
            <wp:docPr id="3" name="Picture 2" descr="C:\Users\athwak\AppData\Local\Microsoft\Windows\INetCache\Content.Outlook\JSWS76ZU\Braithwaite - Including Callout and Text_White background (002).png"/>
            <wp:cNvGraphicFramePr/>
            <a:graphic xmlns:a="http://schemas.openxmlformats.org/drawingml/2006/main">
              <a:graphicData uri="http://schemas.openxmlformats.org/drawingml/2006/picture">
                <pic:pic xmlns:pic="http://schemas.openxmlformats.org/drawingml/2006/picture">
                  <pic:nvPicPr>
                    <pic:cNvPr id="3" name="Picture 2" descr="C:\Users\athwak\AppData\Local\Microsoft\Windows\INetCache\Content.Outlook\JSWS76ZU\Braithwaite - Including Callout and Text_White background (002).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2025" cy="3411220"/>
                    </a:xfrm>
                    <a:prstGeom prst="rect">
                      <a:avLst/>
                    </a:prstGeom>
                    <a:solidFill>
                      <a:srgbClr val="1396C5"/>
                    </a:solidFill>
                    <a:ln>
                      <a:noFill/>
                    </a:ln>
                  </pic:spPr>
                </pic:pic>
              </a:graphicData>
            </a:graphic>
            <wp14:sizeRelH relativeFrom="page">
              <wp14:pctWidth>0</wp14:pctWidth>
            </wp14:sizeRelH>
            <wp14:sizeRelV relativeFrom="page">
              <wp14:pctHeight>0</wp14:pctHeight>
            </wp14:sizeRelV>
          </wp:anchor>
        </w:drawing>
      </w:r>
      <w:r w:rsidR="00D60499">
        <w:rPr>
          <w:rFonts w:ascii="Calibri" w:eastAsia="Calibri" w:hAnsi="Calibri"/>
          <w:b/>
          <w:sz w:val="22"/>
          <w:szCs w:val="22"/>
        </w:rPr>
        <w:t>Pyramid</w:t>
      </w:r>
      <w:r>
        <w:rPr>
          <w:rFonts w:ascii="Calibri" w:eastAsia="Calibri" w:hAnsi="Calibri"/>
          <w:b/>
          <w:sz w:val="22"/>
          <w:szCs w:val="22"/>
        </w:rPr>
        <w:t xml:space="preserve"> representing outcome of compliance activities</w:t>
      </w:r>
    </w:p>
    <w:p w14:paraId="2D008E78" w14:textId="748F860C" w:rsidR="00D60499" w:rsidRDefault="00D60499" w:rsidP="003C7631">
      <w:pPr>
        <w:overflowPunct/>
        <w:autoSpaceDE/>
        <w:autoSpaceDN/>
        <w:adjustRightInd/>
        <w:spacing w:after="160" w:line="259" w:lineRule="auto"/>
        <w:textAlignment w:val="auto"/>
        <w:rPr>
          <w:rFonts w:ascii="Calibri" w:eastAsia="Calibri" w:hAnsi="Calibri"/>
          <w:sz w:val="22"/>
          <w:szCs w:val="22"/>
        </w:rPr>
      </w:pPr>
    </w:p>
    <w:p w14:paraId="371ACB2E" w14:textId="4F281770" w:rsidR="00D60499" w:rsidRDefault="002746CC" w:rsidP="003C7631">
      <w:pPr>
        <w:overflowPunct/>
        <w:autoSpaceDE/>
        <w:autoSpaceDN/>
        <w:adjustRightInd/>
        <w:spacing w:after="160" w:line="259" w:lineRule="auto"/>
        <w:textAlignment w:val="auto"/>
        <w:rPr>
          <w:rFonts w:ascii="Calibri" w:eastAsia="Calibri" w:hAnsi="Calibri"/>
          <w:sz w:val="22"/>
          <w:szCs w:val="22"/>
        </w:rPr>
        <w:sectPr w:rsidR="00D60499" w:rsidSect="00956539">
          <w:headerReference w:type="default" r:id="rId9"/>
          <w:footerReference w:type="even" r:id="rId10"/>
          <w:headerReference w:type="first" r:id="rId11"/>
          <w:footerReference w:type="first" r:id="rId12"/>
          <w:pgSz w:w="11906" w:h="16838"/>
          <w:pgMar w:top="1440" w:right="1080" w:bottom="1440" w:left="1080" w:header="170" w:footer="170" w:gutter="0"/>
          <w:cols w:space="708"/>
          <w:titlePg/>
          <w:docGrid w:linePitch="360"/>
        </w:sectPr>
      </w:pPr>
      <w:r>
        <w:rPr>
          <w:rFonts w:ascii="Calibri" w:eastAsia="Calibri" w:hAnsi="Calibri"/>
          <w:sz w:val="22"/>
          <w:szCs w:val="22"/>
        </w:rPr>
        <w:t xml:space="preserve">The </w:t>
      </w:r>
      <w:r w:rsidR="0080018F">
        <w:rPr>
          <w:rFonts w:ascii="Calibri" w:eastAsia="Calibri" w:hAnsi="Calibri"/>
          <w:sz w:val="22"/>
          <w:szCs w:val="22"/>
        </w:rPr>
        <w:t>P</w:t>
      </w:r>
      <w:r w:rsidR="003C7631" w:rsidRPr="003C7631">
        <w:rPr>
          <w:rFonts w:ascii="Calibri" w:eastAsia="Calibri" w:hAnsi="Calibri"/>
          <w:sz w:val="22"/>
          <w:szCs w:val="22"/>
        </w:rPr>
        <w:t xml:space="preserve">SR </w:t>
      </w:r>
      <w:r>
        <w:rPr>
          <w:rFonts w:ascii="Calibri" w:eastAsia="Calibri" w:hAnsi="Calibri"/>
          <w:sz w:val="22"/>
          <w:szCs w:val="22"/>
        </w:rPr>
        <w:t xml:space="preserve">Scheme </w:t>
      </w:r>
      <w:r w:rsidR="003C7631" w:rsidRPr="003C7631">
        <w:rPr>
          <w:rFonts w:ascii="Calibri" w:eastAsia="Calibri" w:hAnsi="Calibri"/>
          <w:sz w:val="22"/>
          <w:szCs w:val="22"/>
        </w:rPr>
        <w:t>process is described in legislation. The process is highly regulated with a number of specified steps and opportunities for practitioners to provide input throughout the review process.</w:t>
      </w:r>
    </w:p>
    <w:p w14:paraId="60DA76D9" w14:textId="40B4904E" w:rsidR="00D60499" w:rsidRPr="0080018F" w:rsidRDefault="0080018F" w:rsidP="003C7631">
      <w:pPr>
        <w:overflowPunct/>
        <w:autoSpaceDE/>
        <w:autoSpaceDN/>
        <w:adjustRightInd/>
        <w:spacing w:after="160" w:line="259" w:lineRule="auto"/>
        <w:textAlignment w:val="auto"/>
        <w:rPr>
          <w:rFonts w:ascii="Calibri" w:eastAsia="Calibri" w:hAnsi="Calibri"/>
          <w:b/>
          <w:sz w:val="22"/>
          <w:szCs w:val="22"/>
        </w:rPr>
      </w:pPr>
      <w:r w:rsidRPr="0080018F">
        <w:rPr>
          <w:rFonts w:ascii="Calibri" w:eastAsia="Calibri" w:hAnsi="Calibri"/>
          <w:b/>
          <w:sz w:val="22"/>
          <w:szCs w:val="22"/>
        </w:rPr>
        <w:lastRenderedPageBreak/>
        <w:t>Figure 1</w:t>
      </w:r>
      <w:r w:rsidR="00DA1E22">
        <w:rPr>
          <w:rFonts w:ascii="Calibri" w:eastAsia="Calibri" w:hAnsi="Calibri"/>
          <w:b/>
          <w:sz w:val="22"/>
          <w:szCs w:val="22"/>
        </w:rPr>
        <w:t>B</w:t>
      </w:r>
      <w:r w:rsidRPr="0080018F">
        <w:rPr>
          <w:rFonts w:ascii="Calibri" w:eastAsia="Calibri" w:hAnsi="Calibri"/>
          <w:b/>
          <w:sz w:val="22"/>
          <w:szCs w:val="22"/>
        </w:rPr>
        <w:t>.</w:t>
      </w:r>
    </w:p>
    <w:p w14:paraId="7AA663DA" w14:textId="5716D2EA" w:rsidR="0040075F" w:rsidRDefault="0080018F" w:rsidP="003C7631">
      <w:pPr>
        <w:overflowPunct/>
        <w:autoSpaceDE/>
        <w:autoSpaceDN/>
        <w:adjustRightInd/>
        <w:spacing w:after="160" w:line="259" w:lineRule="auto"/>
        <w:textAlignment w:val="auto"/>
        <w:rPr>
          <w:rFonts w:ascii="Calibri" w:eastAsia="Calibri" w:hAnsi="Calibri"/>
          <w:b/>
          <w:sz w:val="22"/>
          <w:szCs w:val="22"/>
        </w:rPr>
      </w:pPr>
      <w:r w:rsidRPr="0080018F">
        <w:rPr>
          <w:rFonts w:ascii="Calibri" w:eastAsia="Calibri" w:hAnsi="Calibri"/>
          <w:b/>
          <w:sz w:val="22"/>
          <w:szCs w:val="22"/>
        </w:rPr>
        <w:t xml:space="preserve">Flow chart of the Professional Services Review </w:t>
      </w:r>
      <w:r w:rsidR="002746CC">
        <w:rPr>
          <w:rFonts w:ascii="Calibri" w:eastAsia="Calibri" w:hAnsi="Calibri"/>
          <w:b/>
          <w:sz w:val="22"/>
          <w:szCs w:val="22"/>
        </w:rPr>
        <w:t xml:space="preserve">Scheme </w:t>
      </w:r>
      <w:r w:rsidRPr="0080018F">
        <w:rPr>
          <w:rFonts w:ascii="Calibri" w:eastAsia="Calibri" w:hAnsi="Calibri"/>
          <w:b/>
          <w:sz w:val="22"/>
          <w:szCs w:val="22"/>
        </w:rPr>
        <w:t>Process</w:t>
      </w:r>
    </w:p>
    <w:p w14:paraId="501084AA" w14:textId="33B35E75" w:rsidR="0040075F" w:rsidRPr="0080018F" w:rsidRDefault="0040075F" w:rsidP="0040075F">
      <w:pPr>
        <w:overflowPunct/>
        <w:autoSpaceDE/>
        <w:autoSpaceDN/>
        <w:adjustRightInd/>
        <w:spacing w:after="160" w:line="259" w:lineRule="auto"/>
        <w:ind w:left="-851"/>
        <w:textAlignment w:val="auto"/>
        <w:rPr>
          <w:rFonts w:ascii="Calibri" w:eastAsia="Calibri" w:hAnsi="Calibri"/>
          <w:b/>
          <w:sz w:val="22"/>
          <w:szCs w:val="22"/>
        </w:rPr>
        <w:sectPr w:rsidR="0040075F" w:rsidRPr="0080018F" w:rsidSect="0080018F">
          <w:headerReference w:type="first" r:id="rId13"/>
          <w:pgSz w:w="16838" w:h="11906" w:orient="landscape"/>
          <w:pgMar w:top="505" w:right="1440" w:bottom="1440" w:left="1440" w:header="0" w:footer="471" w:gutter="0"/>
          <w:cols w:space="708"/>
          <w:titlePg/>
          <w:docGrid w:linePitch="360"/>
        </w:sectPr>
      </w:pPr>
      <w:r w:rsidRPr="0040075F">
        <w:rPr>
          <w:rFonts w:ascii="Calibri" w:eastAsia="Calibri" w:hAnsi="Calibri"/>
          <w:b/>
          <w:noProof/>
          <w:sz w:val="22"/>
          <w:szCs w:val="22"/>
          <w:lang w:eastAsia="en-AU"/>
        </w:rPr>
        <w:drawing>
          <wp:inline distT="0" distB="0" distL="0" distR="0" wp14:anchorId="07E178F0" wp14:editId="01B86421">
            <wp:extent cx="9816324" cy="4299044"/>
            <wp:effectExtent l="0" t="0" r="0" b="6350"/>
            <wp:docPr id="14" name="Picture 14" descr="C:\Users\sarah\AppData\Local\Microsoft\Windows\INetCache\Content.Outlook\UTB4EXQI\PSR Process Flow 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AppData\Local\Microsoft\Windows\INetCache\Content.Outlook\UTB4EXQI\PSR Process Flow Char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29874" cy="4304978"/>
                    </a:xfrm>
                    <a:prstGeom prst="rect">
                      <a:avLst/>
                    </a:prstGeom>
                    <a:noFill/>
                    <a:ln>
                      <a:noFill/>
                    </a:ln>
                  </pic:spPr>
                </pic:pic>
              </a:graphicData>
            </a:graphic>
          </wp:inline>
        </w:drawing>
      </w:r>
    </w:p>
    <w:p w14:paraId="45E65C63" w14:textId="68A651B6"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lastRenderedPageBreak/>
        <w:t xml:space="preserve">PSR strongly encourages </w:t>
      </w:r>
      <w:r w:rsidR="00422A30">
        <w:rPr>
          <w:rFonts w:ascii="Calibri" w:eastAsia="Calibri" w:hAnsi="Calibri"/>
          <w:sz w:val="22"/>
          <w:szCs w:val="22"/>
        </w:rPr>
        <w:t xml:space="preserve">persons under review (PURs) to have </w:t>
      </w:r>
      <w:r w:rsidRPr="003C7631">
        <w:rPr>
          <w:rFonts w:ascii="Calibri" w:eastAsia="Calibri" w:hAnsi="Calibri"/>
          <w:sz w:val="22"/>
          <w:szCs w:val="22"/>
        </w:rPr>
        <w:t>legal representation. This encouragement has been effective</w:t>
      </w:r>
      <w:r w:rsidR="004D39DC">
        <w:rPr>
          <w:rFonts w:ascii="Calibri" w:eastAsia="Calibri" w:hAnsi="Calibri"/>
          <w:sz w:val="22"/>
          <w:szCs w:val="22"/>
        </w:rPr>
        <w:t>,</w:t>
      </w:r>
      <w:r w:rsidRPr="003C7631">
        <w:rPr>
          <w:rFonts w:ascii="Calibri" w:eastAsia="Calibri" w:hAnsi="Calibri"/>
          <w:sz w:val="22"/>
          <w:szCs w:val="22"/>
        </w:rPr>
        <w:t xml:space="preserve"> with more than 95% of practitioners and employer/corporates referred to the </w:t>
      </w:r>
      <w:r w:rsidR="004D39DC">
        <w:rPr>
          <w:rFonts w:ascii="Calibri" w:eastAsia="Calibri" w:hAnsi="Calibri"/>
          <w:sz w:val="22"/>
          <w:szCs w:val="22"/>
        </w:rPr>
        <w:t>a</w:t>
      </w:r>
      <w:r w:rsidRPr="003C7631">
        <w:rPr>
          <w:rFonts w:ascii="Calibri" w:eastAsia="Calibri" w:hAnsi="Calibri"/>
          <w:sz w:val="22"/>
          <w:szCs w:val="22"/>
        </w:rPr>
        <w:t xml:space="preserve">gency being legally represented through the PSR process. Most practitioner lawyers are funded through medical and other indemnity providers and therefore do not impose a cost burden on the practitioners. </w:t>
      </w:r>
    </w:p>
    <w:p w14:paraId="31731B6E" w14:textId="0CE60922"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Most employers/corporates use in-house legal teams, but some do engage external counsel.</w:t>
      </w:r>
    </w:p>
    <w:p w14:paraId="27F02028" w14:textId="6BD72DE5"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Practitioners and employer/corporates under review are given many opportunities to provide submissions, both oral</w:t>
      </w:r>
      <w:r w:rsidR="00422A30">
        <w:rPr>
          <w:rFonts w:ascii="Calibri" w:eastAsia="Calibri" w:hAnsi="Calibri"/>
          <w:sz w:val="22"/>
          <w:szCs w:val="22"/>
        </w:rPr>
        <w:t>ly</w:t>
      </w:r>
      <w:r w:rsidRPr="003C7631">
        <w:rPr>
          <w:rFonts w:ascii="Calibri" w:eastAsia="Calibri" w:hAnsi="Calibri"/>
          <w:sz w:val="22"/>
          <w:szCs w:val="22"/>
        </w:rPr>
        <w:t xml:space="preserve"> and in writing, to address any concerns</w:t>
      </w:r>
      <w:r w:rsidR="00422A30">
        <w:rPr>
          <w:rFonts w:ascii="Calibri" w:eastAsia="Calibri" w:hAnsi="Calibri"/>
          <w:sz w:val="22"/>
          <w:szCs w:val="22"/>
        </w:rPr>
        <w:t>/issues</w:t>
      </w:r>
      <w:r w:rsidRPr="003C7631">
        <w:rPr>
          <w:rFonts w:ascii="Calibri" w:eastAsia="Calibri" w:hAnsi="Calibri"/>
          <w:sz w:val="22"/>
          <w:szCs w:val="22"/>
        </w:rPr>
        <w:t xml:space="preserve"> that </w:t>
      </w:r>
      <w:r w:rsidR="00422A30">
        <w:rPr>
          <w:rFonts w:ascii="Calibri" w:eastAsia="Calibri" w:hAnsi="Calibri"/>
          <w:sz w:val="22"/>
          <w:szCs w:val="22"/>
        </w:rPr>
        <w:t>are identified</w:t>
      </w:r>
      <w:r w:rsidR="00422A30" w:rsidRPr="003C7631">
        <w:rPr>
          <w:rFonts w:ascii="Calibri" w:eastAsia="Calibri" w:hAnsi="Calibri"/>
          <w:sz w:val="22"/>
          <w:szCs w:val="22"/>
        </w:rPr>
        <w:t xml:space="preserve"> </w:t>
      </w:r>
      <w:r w:rsidRPr="003C7631">
        <w:rPr>
          <w:rFonts w:ascii="Calibri" w:eastAsia="Calibri" w:hAnsi="Calibri"/>
          <w:sz w:val="22"/>
          <w:szCs w:val="22"/>
        </w:rPr>
        <w:t xml:space="preserve">during the review process (see Figure </w:t>
      </w:r>
      <w:r w:rsidR="00787BB2">
        <w:rPr>
          <w:rFonts w:ascii="Calibri" w:eastAsia="Calibri" w:hAnsi="Calibri"/>
          <w:sz w:val="22"/>
          <w:szCs w:val="22"/>
        </w:rPr>
        <w:t>1B</w:t>
      </w:r>
      <w:r w:rsidRPr="003C7631">
        <w:rPr>
          <w:rFonts w:ascii="Calibri" w:eastAsia="Calibri" w:hAnsi="Calibri"/>
          <w:sz w:val="22"/>
          <w:szCs w:val="22"/>
        </w:rPr>
        <w:t>).</w:t>
      </w:r>
    </w:p>
    <w:p w14:paraId="420E662A" w14:textId="1A7B2D84"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In making submissions about the possible outcome of </w:t>
      </w:r>
      <w:r w:rsidR="00422A30">
        <w:rPr>
          <w:rFonts w:ascii="Calibri" w:eastAsia="Calibri" w:hAnsi="Calibri"/>
          <w:sz w:val="22"/>
          <w:szCs w:val="22"/>
        </w:rPr>
        <w:t>the</w:t>
      </w:r>
      <w:r w:rsidRPr="003C7631">
        <w:rPr>
          <w:rFonts w:ascii="Calibri" w:eastAsia="Calibri" w:hAnsi="Calibri"/>
          <w:sz w:val="22"/>
          <w:szCs w:val="22"/>
        </w:rPr>
        <w:t xml:space="preserve"> Director</w:t>
      </w:r>
      <w:r w:rsidR="00422A30">
        <w:rPr>
          <w:rFonts w:ascii="Calibri" w:eastAsia="Calibri" w:hAnsi="Calibri"/>
          <w:sz w:val="22"/>
          <w:szCs w:val="22"/>
        </w:rPr>
        <w:t>’s</w:t>
      </w:r>
      <w:r w:rsidRPr="003C7631">
        <w:rPr>
          <w:rFonts w:ascii="Calibri" w:eastAsia="Calibri" w:hAnsi="Calibri"/>
          <w:sz w:val="22"/>
          <w:szCs w:val="22"/>
        </w:rPr>
        <w:t xml:space="preserve"> stage</w:t>
      </w:r>
      <w:r w:rsidR="00422A30">
        <w:rPr>
          <w:rFonts w:ascii="Calibri" w:eastAsia="Calibri" w:hAnsi="Calibri"/>
          <w:sz w:val="22"/>
          <w:szCs w:val="22"/>
        </w:rPr>
        <w:t xml:space="preserve"> of the </w:t>
      </w:r>
      <w:r w:rsidRPr="003C7631">
        <w:rPr>
          <w:rFonts w:ascii="Calibri" w:eastAsia="Calibri" w:hAnsi="Calibri"/>
          <w:sz w:val="22"/>
          <w:szCs w:val="22"/>
        </w:rPr>
        <w:t>review</w:t>
      </w:r>
      <w:r w:rsidR="00422A30">
        <w:rPr>
          <w:rFonts w:ascii="Calibri" w:eastAsia="Calibri" w:hAnsi="Calibri"/>
          <w:sz w:val="22"/>
          <w:szCs w:val="22"/>
        </w:rPr>
        <w:t xml:space="preserve"> process</w:t>
      </w:r>
      <w:r w:rsidRPr="003C7631">
        <w:rPr>
          <w:rFonts w:ascii="Calibri" w:eastAsia="Calibri" w:hAnsi="Calibri"/>
          <w:sz w:val="22"/>
          <w:szCs w:val="22"/>
        </w:rPr>
        <w:t xml:space="preserve">, practitioners are asked to suggest a course of action for the Director to take in their written submissions. Audits of practitioner requests for outcome indicate that the majority of requests are able to be actioned. </w:t>
      </w:r>
    </w:p>
    <w:p w14:paraId="3D72259C" w14:textId="77777777" w:rsidR="003C7631" w:rsidRPr="00865001" w:rsidRDefault="003C7631" w:rsidP="00274F09">
      <w:pPr>
        <w:overflowPunct/>
        <w:autoSpaceDE/>
        <w:autoSpaceDN/>
        <w:adjustRightInd/>
        <w:spacing w:line="259" w:lineRule="auto"/>
        <w:textAlignment w:val="auto"/>
        <w:rPr>
          <w:rFonts w:ascii="Calibri" w:eastAsia="Calibri" w:hAnsi="Calibri"/>
          <w:b/>
          <w:sz w:val="22"/>
          <w:szCs w:val="22"/>
        </w:rPr>
      </w:pPr>
      <w:r w:rsidRPr="00865001">
        <w:rPr>
          <w:rFonts w:ascii="Calibri" w:eastAsia="Calibri" w:hAnsi="Calibri"/>
          <w:b/>
          <w:sz w:val="22"/>
          <w:szCs w:val="22"/>
        </w:rPr>
        <w:t>A consistent approach</w:t>
      </w:r>
    </w:p>
    <w:p w14:paraId="5F19AF08" w14:textId="42346D7A"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To achieve a consistent approach, all practitioners or employer/corporates under review receive a book</w:t>
      </w:r>
      <w:r w:rsidR="009E2CFB">
        <w:rPr>
          <w:rFonts w:ascii="Calibri" w:eastAsia="Calibri" w:hAnsi="Calibri"/>
          <w:sz w:val="22"/>
          <w:szCs w:val="22"/>
        </w:rPr>
        <w:t>let</w:t>
      </w:r>
      <w:r w:rsidRPr="003C7631">
        <w:rPr>
          <w:rFonts w:ascii="Calibri" w:eastAsia="Calibri" w:hAnsi="Calibri"/>
          <w:sz w:val="22"/>
          <w:szCs w:val="22"/>
        </w:rPr>
        <w:t xml:space="preserve"> that outlines the PSR process in detail. A copy of the booklet is available on our website at </w:t>
      </w:r>
      <w:hyperlink r:id="rId15" w:history="1">
        <w:r w:rsidR="00787BB2" w:rsidRPr="003A464C">
          <w:rPr>
            <w:rStyle w:val="Hyperlink"/>
            <w:rFonts w:ascii="Calibri" w:eastAsia="Calibri" w:hAnsi="Calibri"/>
            <w:sz w:val="22"/>
            <w:szCs w:val="22"/>
          </w:rPr>
          <w:t>www.psr.gov.au</w:t>
        </w:r>
      </w:hyperlink>
      <w:r w:rsidRPr="00A177DF">
        <w:rPr>
          <w:rFonts w:ascii="Calibri" w:eastAsia="Calibri" w:hAnsi="Calibri"/>
          <w:sz w:val="22"/>
          <w:szCs w:val="22"/>
        </w:rPr>
        <w:t>.</w:t>
      </w:r>
      <w:r w:rsidRPr="003C7631">
        <w:rPr>
          <w:rFonts w:ascii="Calibri" w:eastAsia="Calibri" w:hAnsi="Calibri"/>
          <w:sz w:val="22"/>
          <w:szCs w:val="22"/>
        </w:rPr>
        <w:t xml:space="preserve"> </w:t>
      </w:r>
    </w:p>
    <w:p w14:paraId="775CAC2E" w14:textId="175A6348"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The legislation imposes </w:t>
      </w:r>
      <w:r w:rsidR="004D39DC">
        <w:rPr>
          <w:rFonts w:ascii="Calibri" w:eastAsia="Calibri" w:hAnsi="Calibri"/>
          <w:sz w:val="22"/>
          <w:szCs w:val="22"/>
        </w:rPr>
        <w:t xml:space="preserve">a </w:t>
      </w:r>
      <w:r w:rsidRPr="003C7631">
        <w:rPr>
          <w:rFonts w:ascii="Calibri" w:eastAsia="Calibri" w:hAnsi="Calibri"/>
          <w:sz w:val="22"/>
          <w:szCs w:val="22"/>
        </w:rPr>
        <w:t>tight time limit</w:t>
      </w:r>
      <w:r w:rsidR="004D39DC">
        <w:rPr>
          <w:rFonts w:ascii="Calibri" w:eastAsia="Calibri" w:hAnsi="Calibri"/>
          <w:sz w:val="22"/>
          <w:szCs w:val="22"/>
        </w:rPr>
        <w:t xml:space="preserve"> of 12 months</w:t>
      </w:r>
      <w:r w:rsidRPr="003C7631">
        <w:rPr>
          <w:rFonts w:ascii="Calibri" w:eastAsia="Calibri" w:hAnsi="Calibri"/>
          <w:sz w:val="22"/>
          <w:szCs w:val="22"/>
        </w:rPr>
        <w:t xml:space="preserve"> for </w:t>
      </w:r>
      <w:r w:rsidR="00787BB2">
        <w:rPr>
          <w:rFonts w:ascii="Calibri" w:eastAsia="Calibri" w:hAnsi="Calibri"/>
          <w:sz w:val="22"/>
          <w:szCs w:val="22"/>
        </w:rPr>
        <w:t xml:space="preserve">the </w:t>
      </w:r>
      <w:r w:rsidRPr="003C7631">
        <w:rPr>
          <w:rFonts w:ascii="Calibri" w:eastAsia="Calibri" w:hAnsi="Calibri"/>
          <w:sz w:val="22"/>
          <w:szCs w:val="22"/>
        </w:rPr>
        <w:t>Director</w:t>
      </w:r>
      <w:r w:rsidR="00787BB2">
        <w:rPr>
          <w:rFonts w:ascii="Calibri" w:eastAsia="Calibri" w:hAnsi="Calibri"/>
          <w:sz w:val="22"/>
          <w:szCs w:val="22"/>
        </w:rPr>
        <w:t>’s</w:t>
      </w:r>
      <w:r w:rsidRPr="003C7631">
        <w:rPr>
          <w:rFonts w:ascii="Calibri" w:eastAsia="Calibri" w:hAnsi="Calibri"/>
          <w:sz w:val="22"/>
          <w:szCs w:val="22"/>
        </w:rPr>
        <w:t xml:space="preserve"> stage </w:t>
      </w:r>
      <w:r w:rsidR="00787BB2">
        <w:rPr>
          <w:rFonts w:ascii="Calibri" w:eastAsia="Calibri" w:hAnsi="Calibri"/>
          <w:sz w:val="22"/>
          <w:szCs w:val="22"/>
        </w:rPr>
        <w:t xml:space="preserve">of the </w:t>
      </w:r>
      <w:r w:rsidRPr="003C7631">
        <w:rPr>
          <w:rFonts w:ascii="Calibri" w:eastAsia="Calibri" w:hAnsi="Calibri"/>
          <w:sz w:val="22"/>
          <w:szCs w:val="22"/>
        </w:rPr>
        <w:t>review</w:t>
      </w:r>
      <w:r w:rsidR="00787BB2">
        <w:rPr>
          <w:rFonts w:ascii="Calibri" w:eastAsia="Calibri" w:hAnsi="Calibri"/>
          <w:sz w:val="22"/>
          <w:szCs w:val="22"/>
        </w:rPr>
        <w:t xml:space="preserve"> proces</w:t>
      </w:r>
      <w:r w:rsidRPr="003C7631">
        <w:rPr>
          <w:rFonts w:ascii="Calibri" w:eastAsia="Calibri" w:hAnsi="Calibri"/>
          <w:sz w:val="22"/>
          <w:szCs w:val="22"/>
        </w:rPr>
        <w:t>s. This ensures that decision-making is timely.</w:t>
      </w:r>
    </w:p>
    <w:p w14:paraId="39465E97" w14:textId="5DA92F42"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Panel members who act as peer reviewers receive annual training </w:t>
      </w:r>
      <w:r w:rsidR="004D39DC">
        <w:rPr>
          <w:rFonts w:ascii="Calibri" w:eastAsia="Calibri" w:hAnsi="Calibri"/>
          <w:sz w:val="22"/>
          <w:szCs w:val="22"/>
        </w:rPr>
        <w:t xml:space="preserve">on topics </w:t>
      </w:r>
      <w:r w:rsidRPr="003C7631">
        <w:rPr>
          <w:rFonts w:ascii="Calibri" w:eastAsia="Calibri" w:hAnsi="Calibri"/>
          <w:sz w:val="22"/>
          <w:szCs w:val="22"/>
        </w:rPr>
        <w:t>in</w:t>
      </w:r>
      <w:r w:rsidR="008301E8">
        <w:rPr>
          <w:rFonts w:ascii="Calibri" w:eastAsia="Calibri" w:hAnsi="Calibri"/>
          <w:sz w:val="22"/>
          <w:szCs w:val="22"/>
        </w:rPr>
        <w:t>c</w:t>
      </w:r>
      <w:r w:rsidR="004D39DC">
        <w:rPr>
          <w:rFonts w:ascii="Calibri" w:eastAsia="Calibri" w:hAnsi="Calibri"/>
          <w:sz w:val="22"/>
          <w:szCs w:val="22"/>
        </w:rPr>
        <w:t>luding</w:t>
      </w:r>
      <w:r w:rsidRPr="003C7631">
        <w:rPr>
          <w:rFonts w:ascii="Calibri" w:eastAsia="Calibri" w:hAnsi="Calibri"/>
          <w:sz w:val="22"/>
          <w:szCs w:val="22"/>
        </w:rPr>
        <w:t xml:space="preserve"> procedural fairness and consistency in decision-making. PSR legal staff who help peer review Committees draft decisions also receive annual training in writing quality decisions that engage </w:t>
      </w:r>
      <w:r w:rsidR="00E37269">
        <w:rPr>
          <w:rFonts w:ascii="Calibri" w:eastAsia="Calibri" w:hAnsi="Calibri"/>
          <w:sz w:val="22"/>
          <w:szCs w:val="22"/>
        </w:rPr>
        <w:t>with</w:t>
      </w:r>
      <w:r w:rsidRPr="003C7631">
        <w:rPr>
          <w:rFonts w:ascii="Calibri" w:eastAsia="Calibri" w:hAnsi="Calibri"/>
          <w:sz w:val="22"/>
          <w:szCs w:val="22"/>
        </w:rPr>
        <w:t xml:space="preserve"> the evidence</w:t>
      </w:r>
      <w:r w:rsidR="00E37269">
        <w:rPr>
          <w:rFonts w:ascii="Calibri" w:eastAsia="Calibri" w:hAnsi="Calibri"/>
          <w:sz w:val="22"/>
          <w:szCs w:val="22"/>
        </w:rPr>
        <w:t>, submissions and the law</w:t>
      </w:r>
      <w:r w:rsidRPr="003C7631">
        <w:rPr>
          <w:rFonts w:ascii="Calibri" w:eastAsia="Calibri" w:hAnsi="Calibri"/>
          <w:sz w:val="22"/>
          <w:szCs w:val="22"/>
        </w:rPr>
        <w:t>.</w:t>
      </w:r>
    </w:p>
    <w:p w14:paraId="5BA7A6B0" w14:textId="0FE41673"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PSR also provide</w:t>
      </w:r>
      <w:r w:rsidR="004D39DC">
        <w:rPr>
          <w:rFonts w:ascii="Calibri" w:eastAsia="Calibri" w:hAnsi="Calibri"/>
          <w:sz w:val="22"/>
          <w:szCs w:val="22"/>
        </w:rPr>
        <w:t>s</w:t>
      </w:r>
      <w:r w:rsidRPr="003C7631">
        <w:rPr>
          <w:rFonts w:ascii="Calibri" w:eastAsia="Calibri" w:hAnsi="Calibri"/>
          <w:sz w:val="22"/>
          <w:szCs w:val="22"/>
        </w:rPr>
        <w:t xml:space="preserve"> external legal </w:t>
      </w:r>
      <w:r w:rsidR="004D39DC">
        <w:rPr>
          <w:rFonts w:ascii="Calibri" w:eastAsia="Calibri" w:hAnsi="Calibri"/>
          <w:sz w:val="22"/>
          <w:szCs w:val="22"/>
        </w:rPr>
        <w:t>advisors</w:t>
      </w:r>
      <w:r w:rsidR="004D39DC" w:rsidRPr="003C7631">
        <w:rPr>
          <w:rFonts w:ascii="Calibri" w:eastAsia="Calibri" w:hAnsi="Calibri"/>
          <w:sz w:val="22"/>
          <w:szCs w:val="22"/>
        </w:rPr>
        <w:t xml:space="preserve"> </w:t>
      </w:r>
      <w:r w:rsidR="004D39DC">
        <w:rPr>
          <w:rFonts w:ascii="Calibri" w:eastAsia="Calibri" w:hAnsi="Calibri"/>
          <w:sz w:val="22"/>
          <w:szCs w:val="22"/>
        </w:rPr>
        <w:t>for</w:t>
      </w:r>
      <w:r w:rsidRPr="003C7631">
        <w:rPr>
          <w:rFonts w:ascii="Calibri" w:eastAsia="Calibri" w:hAnsi="Calibri"/>
          <w:sz w:val="22"/>
          <w:szCs w:val="22"/>
        </w:rPr>
        <w:t xml:space="preserve"> the Determining Authority to help the practitioner members and community representative draft consistent determinations that engage with the evidence</w:t>
      </w:r>
      <w:r w:rsidR="00E37269">
        <w:rPr>
          <w:rFonts w:ascii="Calibri" w:eastAsia="Calibri" w:hAnsi="Calibri"/>
          <w:sz w:val="22"/>
          <w:szCs w:val="22"/>
        </w:rPr>
        <w:t>, submissions</w:t>
      </w:r>
      <w:r w:rsidR="004D39DC">
        <w:rPr>
          <w:rFonts w:ascii="Calibri" w:eastAsia="Calibri" w:hAnsi="Calibri"/>
          <w:sz w:val="22"/>
          <w:szCs w:val="22"/>
        </w:rPr>
        <w:t xml:space="preserve"> and </w:t>
      </w:r>
      <w:r w:rsidR="00E37269">
        <w:rPr>
          <w:rFonts w:ascii="Calibri" w:eastAsia="Calibri" w:hAnsi="Calibri"/>
          <w:sz w:val="22"/>
          <w:szCs w:val="22"/>
        </w:rPr>
        <w:t>the law</w:t>
      </w:r>
      <w:r w:rsidRPr="003C7631">
        <w:rPr>
          <w:rFonts w:ascii="Calibri" w:eastAsia="Calibri" w:hAnsi="Calibri"/>
          <w:sz w:val="22"/>
          <w:szCs w:val="22"/>
        </w:rPr>
        <w:t>.</w:t>
      </w:r>
    </w:p>
    <w:p w14:paraId="49B293FD" w14:textId="3C3DFC77"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Whenever a matter is appealed to the Federal Court, PSR reviews the outcome and integrates any </w:t>
      </w:r>
      <w:r w:rsidR="00756B6F">
        <w:rPr>
          <w:rFonts w:ascii="Calibri" w:eastAsia="Calibri" w:hAnsi="Calibri"/>
          <w:sz w:val="22"/>
          <w:szCs w:val="22"/>
        </w:rPr>
        <w:t xml:space="preserve">relevant </w:t>
      </w:r>
      <w:r w:rsidRPr="003C7631">
        <w:rPr>
          <w:rFonts w:ascii="Calibri" w:eastAsia="Calibri" w:hAnsi="Calibri"/>
          <w:sz w:val="22"/>
          <w:szCs w:val="22"/>
        </w:rPr>
        <w:t>learning</w:t>
      </w:r>
      <w:r w:rsidR="00756B6F">
        <w:rPr>
          <w:rFonts w:ascii="Calibri" w:eastAsia="Calibri" w:hAnsi="Calibri"/>
          <w:sz w:val="22"/>
          <w:szCs w:val="22"/>
        </w:rPr>
        <w:t>s</w:t>
      </w:r>
      <w:r w:rsidRPr="003C7631">
        <w:rPr>
          <w:rFonts w:ascii="Calibri" w:eastAsia="Calibri" w:hAnsi="Calibri"/>
          <w:sz w:val="22"/>
          <w:szCs w:val="22"/>
        </w:rPr>
        <w:t xml:space="preserve"> into subsequent training of the peer reviewers</w:t>
      </w:r>
      <w:r w:rsidR="00756B6F">
        <w:rPr>
          <w:rFonts w:ascii="Calibri" w:eastAsia="Calibri" w:hAnsi="Calibri"/>
          <w:sz w:val="22"/>
          <w:szCs w:val="22"/>
        </w:rPr>
        <w:t xml:space="preserve"> and staff</w:t>
      </w:r>
      <w:r w:rsidRPr="003C7631">
        <w:rPr>
          <w:rFonts w:ascii="Calibri" w:eastAsia="Calibri" w:hAnsi="Calibri"/>
          <w:sz w:val="22"/>
          <w:szCs w:val="22"/>
        </w:rPr>
        <w:t>.</w:t>
      </w:r>
    </w:p>
    <w:p w14:paraId="62E439E2" w14:textId="77777777" w:rsidR="003C7631" w:rsidRPr="00865001" w:rsidRDefault="003C7631" w:rsidP="00274F09">
      <w:pPr>
        <w:overflowPunct/>
        <w:autoSpaceDE/>
        <w:autoSpaceDN/>
        <w:adjustRightInd/>
        <w:spacing w:line="259" w:lineRule="auto"/>
        <w:textAlignment w:val="auto"/>
        <w:rPr>
          <w:rFonts w:ascii="Calibri" w:eastAsia="Calibri" w:hAnsi="Calibri"/>
          <w:b/>
          <w:sz w:val="22"/>
          <w:szCs w:val="22"/>
        </w:rPr>
      </w:pPr>
      <w:r w:rsidRPr="00865001">
        <w:rPr>
          <w:rFonts w:ascii="Calibri" w:eastAsia="Calibri" w:hAnsi="Calibri"/>
          <w:b/>
          <w:sz w:val="22"/>
          <w:szCs w:val="22"/>
        </w:rPr>
        <w:t>Effective and impartial</w:t>
      </w:r>
    </w:p>
    <w:p w14:paraId="688D7F4C" w14:textId="6511CEFC"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The central tenet of PSR is peer review and the standard for inappropriate practice is</w:t>
      </w:r>
      <w:r w:rsidR="00865001">
        <w:rPr>
          <w:rFonts w:ascii="Calibri" w:eastAsia="Calibri" w:hAnsi="Calibri"/>
          <w:sz w:val="22"/>
          <w:szCs w:val="22"/>
        </w:rPr>
        <w:t>:</w:t>
      </w:r>
    </w:p>
    <w:p w14:paraId="17596B8A" w14:textId="6FF91399" w:rsidR="003C7631" w:rsidRPr="00865001" w:rsidRDefault="00F508AB" w:rsidP="00865001">
      <w:pPr>
        <w:overflowPunct/>
        <w:autoSpaceDE/>
        <w:autoSpaceDN/>
        <w:adjustRightInd/>
        <w:spacing w:after="160" w:line="259" w:lineRule="auto"/>
        <w:ind w:left="720"/>
        <w:textAlignment w:val="auto"/>
        <w:rPr>
          <w:rFonts w:ascii="Calibri" w:eastAsia="Calibri" w:hAnsi="Calibri"/>
          <w:b/>
          <w:i/>
          <w:sz w:val="22"/>
          <w:szCs w:val="22"/>
        </w:rPr>
      </w:pPr>
      <w:r w:rsidRPr="00865001">
        <w:rPr>
          <w:rFonts w:ascii="Calibri" w:eastAsia="Calibri" w:hAnsi="Calibri"/>
          <w:b/>
          <w:i/>
          <w:sz w:val="22"/>
          <w:szCs w:val="22"/>
        </w:rPr>
        <w:t>‘</w:t>
      </w:r>
      <w:proofErr w:type="gramStart"/>
      <w:r w:rsidR="003C7631" w:rsidRPr="00865001">
        <w:rPr>
          <w:rFonts w:ascii="Calibri" w:eastAsia="Calibri" w:hAnsi="Calibri"/>
          <w:b/>
          <w:i/>
          <w:sz w:val="22"/>
          <w:szCs w:val="22"/>
        </w:rPr>
        <w:t>conduct</w:t>
      </w:r>
      <w:proofErr w:type="gramEnd"/>
      <w:r w:rsidR="003C7631" w:rsidRPr="00865001">
        <w:rPr>
          <w:rFonts w:ascii="Calibri" w:eastAsia="Calibri" w:hAnsi="Calibri"/>
          <w:b/>
          <w:i/>
          <w:sz w:val="22"/>
          <w:szCs w:val="22"/>
        </w:rPr>
        <w:t xml:space="preserve"> in connection with providing services that would be unacceptable to the general body of the profession or specialty</w:t>
      </w:r>
      <w:r w:rsidRPr="00865001">
        <w:rPr>
          <w:rFonts w:ascii="Calibri" w:eastAsia="Calibri" w:hAnsi="Calibri"/>
          <w:b/>
          <w:i/>
          <w:sz w:val="22"/>
          <w:szCs w:val="22"/>
        </w:rPr>
        <w:t>.’</w:t>
      </w:r>
    </w:p>
    <w:p w14:paraId="5C7F5A4F" w14:textId="221AE784"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PSR recruits peer reviewers utilising a comprehensive process that involves:</w:t>
      </w:r>
    </w:p>
    <w:p w14:paraId="1CB865FD" w14:textId="3452F251" w:rsidR="003C7631" w:rsidRPr="003C7631" w:rsidRDefault="00756B6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n</w:t>
      </w:r>
      <w:r w:rsidR="003C7631" w:rsidRPr="003C7631">
        <w:rPr>
          <w:rFonts w:ascii="Calibri" w:eastAsia="Calibri" w:hAnsi="Calibri"/>
          <w:sz w:val="22"/>
          <w:szCs w:val="22"/>
        </w:rPr>
        <w:t xml:space="preserve">ational advertising </w:t>
      </w:r>
    </w:p>
    <w:p w14:paraId="692D53DA" w14:textId="056F50D0" w:rsidR="003C7631" w:rsidRPr="003C7631" w:rsidRDefault="00756B6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s</w:t>
      </w:r>
      <w:r w:rsidR="003C7631" w:rsidRPr="003C7631">
        <w:rPr>
          <w:rFonts w:ascii="Calibri" w:eastAsia="Calibri" w:hAnsi="Calibri"/>
          <w:sz w:val="22"/>
          <w:szCs w:val="22"/>
        </w:rPr>
        <w:t xml:space="preserve">creening applicants for currency of practice </w:t>
      </w:r>
    </w:p>
    <w:p w14:paraId="0AF6D433" w14:textId="21FB085F" w:rsidR="003C7631" w:rsidRPr="003C7631" w:rsidRDefault="00756B6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s</w:t>
      </w:r>
      <w:r w:rsidR="003C7631" w:rsidRPr="003C7631">
        <w:rPr>
          <w:rFonts w:ascii="Calibri" w:eastAsia="Calibri" w:hAnsi="Calibri"/>
          <w:sz w:val="22"/>
          <w:szCs w:val="22"/>
        </w:rPr>
        <w:t>tandardised interviews and scoring</w:t>
      </w:r>
    </w:p>
    <w:p w14:paraId="3A3761A0" w14:textId="72FA6297" w:rsidR="003C7631" w:rsidRPr="003C7631" w:rsidRDefault="00756B6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s</w:t>
      </w:r>
      <w:r w:rsidR="003C7631" w:rsidRPr="003C7631">
        <w:rPr>
          <w:rFonts w:ascii="Calibri" w:eastAsia="Calibri" w:hAnsi="Calibri"/>
          <w:sz w:val="22"/>
          <w:szCs w:val="22"/>
        </w:rPr>
        <w:t>ocial media screen</w:t>
      </w:r>
      <w:r>
        <w:rPr>
          <w:rFonts w:ascii="Calibri" w:eastAsia="Calibri" w:hAnsi="Calibri"/>
          <w:sz w:val="22"/>
          <w:szCs w:val="22"/>
        </w:rPr>
        <w:t>ing</w:t>
      </w:r>
    </w:p>
    <w:p w14:paraId="79A8FA55" w14:textId="310B3989" w:rsidR="003C7631" w:rsidRPr="003C7631" w:rsidRDefault="00756B6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f</w:t>
      </w:r>
      <w:r w:rsidR="003C7631" w:rsidRPr="003C7631">
        <w:rPr>
          <w:rFonts w:ascii="Calibri" w:eastAsia="Calibri" w:hAnsi="Calibri"/>
          <w:sz w:val="22"/>
          <w:szCs w:val="22"/>
        </w:rPr>
        <w:t>ormal consultation with the Australian Medical Association (</w:t>
      </w:r>
      <w:r w:rsidR="003C7631" w:rsidRPr="00865001">
        <w:rPr>
          <w:rFonts w:ascii="Calibri" w:eastAsia="Calibri" w:hAnsi="Calibri"/>
          <w:b/>
          <w:sz w:val="22"/>
          <w:szCs w:val="22"/>
        </w:rPr>
        <w:t>AMA</w:t>
      </w:r>
      <w:r w:rsidR="003C7631" w:rsidRPr="003C7631">
        <w:rPr>
          <w:rFonts w:ascii="Calibri" w:eastAsia="Calibri" w:hAnsi="Calibri"/>
          <w:sz w:val="22"/>
          <w:szCs w:val="22"/>
        </w:rPr>
        <w:t>) or relevant professional bodies for non-medical disciplines</w:t>
      </w:r>
    </w:p>
    <w:p w14:paraId="62988C75" w14:textId="75DC8174" w:rsidR="003C7631" w:rsidRPr="003C7631" w:rsidRDefault="00756B6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f</w:t>
      </w:r>
      <w:r w:rsidR="003C7631" w:rsidRPr="003C7631">
        <w:rPr>
          <w:rFonts w:ascii="Calibri" w:eastAsia="Calibri" w:hAnsi="Calibri"/>
          <w:sz w:val="22"/>
          <w:szCs w:val="22"/>
        </w:rPr>
        <w:t>ormal consultation with the relevant College in the case of medical practitioners (provided under a Memorandum of Understanding via the AMA)</w:t>
      </w:r>
    </w:p>
    <w:p w14:paraId="11514ED5" w14:textId="16AB05E7" w:rsidR="003C7631" w:rsidRPr="003C7631" w:rsidRDefault="00756B6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proofErr w:type="gramStart"/>
      <w:r>
        <w:rPr>
          <w:rFonts w:ascii="Calibri" w:eastAsia="Calibri" w:hAnsi="Calibri"/>
          <w:sz w:val="22"/>
          <w:szCs w:val="22"/>
        </w:rPr>
        <w:t>c</w:t>
      </w:r>
      <w:r w:rsidR="003C7631" w:rsidRPr="003C7631">
        <w:rPr>
          <w:rFonts w:ascii="Calibri" w:eastAsia="Calibri" w:hAnsi="Calibri"/>
          <w:sz w:val="22"/>
          <w:szCs w:val="22"/>
        </w:rPr>
        <w:t>onsultation</w:t>
      </w:r>
      <w:proofErr w:type="gramEnd"/>
      <w:r w:rsidR="003C7631" w:rsidRPr="003C7631">
        <w:rPr>
          <w:rFonts w:ascii="Calibri" w:eastAsia="Calibri" w:hAnsi="Calibri"/>
          <w:sz w:val="22"/>
          <w:szCs w:val="22"/>
        </w:rPr>
        <w:t xml:space="preserve"> with the Department.</w:t>
      </w:r>
    </w:p>
    <w:p w14:paraId="7749EB30" w14:textId="4CE83BBD"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lastRenderedPageBreak/>
        <w:t>Names of</w:t>
      </w:r>
      <w:r w:rsidR="00756B6F">
        <w:rPr>
          <w:rFonts w:ascii="Calibri" w:eastAsia="Calibri" w:hAnsi="Calibri"/>
          <w:sz w:val="22"/>
          <w:szCs w:val="22"/>
        </w:rPr>
        <w:t xml:space="preserve"> recommended</w:t>
      </w:r>
      <w:r w:rsidRPr="003C7631">
        <w:rPr>
          <w:rFonts w:ascii="Calibri" w:eastAsia="Calibri" w:hAnsi="Calibri"/>
          <w:sz w:val="22"/>
          <w:szCs w:val="22"/>
        </w:rPr>
        <w:t xml:space="preserve"> potential peer reviewers are then forwarded, via the Department, to the Minister who has the </w:t>
      </w:r>
      <w:r w:rsidR="002746CC">
        <w:rPr>
          <w:rFonts w:ascii="Calibri" w:eastAsia="Calibri" w:hAnsi="Calibri"/>
          <w:sz w:val="22"/>
          <w:szCs w:val="22"/>
        </w:rPr>
        <w:t xml:space="preserve">authority </w:t>
      </w:r>
      <w:r w:rsidR="00DA1E22">
        <w:rPr>
          <w:rFonts w:ascii="Calibri" w:eastAsia="Calibri" w:hAnsi="Calibri"/>
          <w:sz w:val="22"/>
          <w:szCs w:val="22"/>
        </w:rPr>
        <w:t xml:space="preserve">under the Act </w:t>
      </w:r>
      <w:r w:rsidR="002746CC">
        <w:rPr>
          <w:rFonts w:ascii="Calibri" w:eastAsia="Calibri" w:hAnsi="Calibri"/>
          <w:sz w:val="22"/>
          <w:szCs w:val="22"/>
        </w:rPr>
        <w:t>to appoint them as members of the PSR Panel</w:t>
      </w:r>
      <w:r w:rsidRPr="003C7631">
        <w:rPr>
          <w:rFonts w:ascii="Calibri" w:eastAsia="Calibri" w:hAnsi="Calibri"/>
          <w:sz w:val="22"/>
          <w:szCs w:val="22"/>
        </w:rPr>
        <w:t>.</w:t>
      </w:r>
    </w:p>
    <w:p w14:paraId="69D077E9" w14:textId="0448AF6F"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The comprehensive appointment approach ensures that peer reviewers are </w:t>
      </w:r>
      <w:r w:rsidR="00E37269">
        <w:rPr>
          <w:rFonts w:ascii="Calibri" w:eastAsia="Calibri" w:hAnsi="Calibri"/>
          <w:sz w:val="22"/>
          <w:szCs w:val="22"/>
        </w:rPr>
        <w:t>highly respected</w:t>
      </w:r>
      <w:r w:rsidRPr="003C7631">
        <w:rPr>
          <w:rFonts w:ascii="Calibri" w:eastAsia="Calibri" w:hAnsi="Calibri"/>
          <w:sz w:val="22"/>
          <w:szCs w:val="22"/>
        </w:rPr>
        <w:t xml:space="preserve"> members of their respective clinical communities and can impartially and effectively evaluate behaviour in a PSR review.</w:t>
      </w:r>
    </w:p>
    <w:p w14:paraId="7D952000" w14:textId="77777777"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Peer reviewers receive orientation and thereafter annual training in their role.</w:t>
      </w:r>
    </w:p>
    <w:p w14:paraId="5CF99197" w14:textId="3CDF9B1D"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Furthermore, before being appointed to a Committee</w:t>
      </w:r>
      <w:r w:rsidR="00756B6F">
        <w:rPr>
          <w:rFonts w:ascii="Calibri" w:eastAsia="Calibri" w:hAnsi="Calibri"/>
          <w:sz w:val="22"/>
          <w:szCs w:val="22"/>
        </w:rPr>
        <w:t xml:space="preserve"> to review a case</w:t>
      </w:r>
      <w:r w:rsidRPr="003C7631">
        <w:rPr>
          <w:rFonts w:ascii="Calibri" w:eastAsia="Calibri" w:hAnsi="Calibri"/>
          <w:sz w:val="22"/>
          <w:szCs w:val="22"/>
        </w:rPr>
        <w:t>, peer reviewers are specifically asked by the Director if they have any known</w:t>
      </w:r>
      <w:r w:rsidR="00756B6F">
        <w:rPr>
          <w:rFonts w:ascii="Calibri" w:eastAsia="Calibri" w:hAnsi="Calibri"/>
          <w:sz w:val="22"/>
          <w:szCs w:val="22"/>
        </w:rPr>
        <w:t xml:space="preserve"> or </w:t>
      </w:r>
      <w:r w:rsidR="00E37269">
        <w:rPr>
          <w:rFonts w:ascii="Calibri" w:eastAsia="Calibri" w:hAnsi="Calibri"/>
          <w:sz w:val="22"/>
          <w:szCs w:val="22"/>
        </w:rPr>
        <w:t xml:space="preserve">potentially </w:t>
      </w:r>
      <w:r w:rsidR="00756B6F">
        <w:rPr>
          <w:rFonts w:ascii="Calibri" w:eastAsia="Calibri" w:hAnsi="Calibri"/>
          <w:sz w:val="22"/>
          <w:szCs w:val="22"/>
        </w:rPr>
        <w:t>perceived</w:t>
      </w:r>
      <w:r w:rsidRPr="003C7631">
        <w:rPr>
          <w:rFonts w:ascii="Calibri" w:eastAsia="Calibri" w:hAnsi="Calibri"/>
          <w:sz w:val="22"/>
          <w:szCs w:val="22"/>
        </w:rPr>
        <w:t xml:space="preserve"> conflict of interest</w:t>
      </w:r>
      <w:r w:rsidR="00541193">
        <w:rPr>
          <w:rFonts w:ascii="Calibri" w:eastAsia="Calibri" w:hAnsi="Calibri"/>
          <w:sz w:val="22"/>
          <w:szCs w:val="22"/>
        </w:rPr>
        <w:t xml:space="preserve"> </w:t>
      </w:r>
      <w:r w:rsidR="00756B6F">
        <w:rPr>
          <w:rFonts w:ascii="Calibri" w:eastAsia="Calibri" w:hAnsi="Calibri"/>
          <w:sz w:val="22"/>
          <w:szCs w:val="22"/>
        </w:rPr>
        <w:t>related to the matter</w:t>
      </w:r>
      <w:r w:rsidRPr="003C7631">
        <w:rPr>
          <w:rFonts w:ascii="Calibri" w:eastAsia="Calibri" w:hAnsi="Calibri"/>
          <w:sz w:val="22"/>
          <w:szCs w:val="22"/>
        </w:rPr>
        <w:t xml:space="preserve">. </w:t>
      </w:r>
    </w:p>
    <w:p w14:paraId="6D5335C7" w14:textId="694E6A38"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The </w:t>
      </w:r>
      <w:r w:rsidR="009E2CFB">
        <w:rPr>
          <w:rFonts w:ascii="Calibri" w:eastAsia="Calibri" w:hAnsi="Calibri"/>
          <w:sz w:val="22"/>
          <w:szCs w:val="22"/>
        </w:rPr>
        <w:t>person</w:t>
      </w:r>
      <w:r w:rsidR="009E2CFB" w:rsidRPr="003C7631">
        <w:rPr>
          <w:rFonts w:ascii="Calibri" w:eastAsia="Calibri" w:hAnsi="Calibri"/>
          <w:sz w:val="22"/>
          <w:szCs w:val="22"/>
        </w:rPr>
        <w:t xml:space="preserve"> </w:t>
      </w:r>
      <w:r w:rsidRPr="003C7631">
        <w:rPr>
          <w:rFonts w:ascii="Calibri" w:eastAsia="Calibri" w:hAnsi="Calibri"/>
          <w:sz w:val="22"/>
          <w:szCs w:val="22"/>
        </w:rPr>
        <w:t>under review also has an opportunity to raise a concern over potential bias in relation to a peer reviewer and the Director will consider this before the Committee peer review process commences. If a concern over bias of a peer reviewer is upheld, a different peer reviewer will be appointed to the Committee.</w:t>
      </w:r>
    </w:p>
    <w:p w14:paraId="2C431106" w14:textId="77777777" w:rsidR="003C7631" w:rsidRPr="00DA1E22" w:rsidRDefault="003C7631" w:rsidP="00274F09">
      <w:pPr>
        <w:overflowPunct/>
        <w:autoSpaceDE/>
        <w:autoSpaceDN/>
        <w:adjustRightInd/>
        <w:spacing w:line="259" w:lineRule="auto"/>
        <w:textAlignment w:val="auto"/>
        <w:rPr>
          <w:rFonts w:ascii="Calibri" w:eastAsia="Calibri" w:hAnsi="Calibri"/>
          <w:b/>
          <w:sz w:val="22"/>
          <w:szCs w:val="22"/>
        </w:rPr>
      </w:pPr>
      <w:r w:rsidRPr="00DA1E22">
        <w:rPr>
          <w:rFonts w:ascii="Calibri" w:eastAsia="Calibri" w:hAnsi="Calibri"/>
          <w:b/>
          <w:sz w:val="22"/>
          <w:szCs w:val="22"/>
        </w:rPr>
        <w:t>Transparency of outcomes</w:t>
      </w:r>
    </w:p>
    <w:p w14:paraId="23F0E53A" w14:textId="0B55A771"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delivers transparency in outcomes through </w:t>
      </w:r>
      <w:r w:rsidR="00265CB8">
        <w:rPr>
          <w:rFonts w:ascii="Calibri" w:eastAsia="Calibri" w:hAnsi="Calibri"/>
          <w:sz w:val="22"/>
          <w:szCs w:val="22"/>
        </w:rPr>
        <w:t xml:space="preserve">the information detailed in </w:t>
      </w:r>
      <w:r w:rsidRPr="003C7631">
        <w:rPr>
          <w:rFonts w:ascii="Calibri" w:eastAsia="Calibri" w:hAnsi="Calibri"/>
          <w:sz w:val="22"/>
          <w:szCs w:val="22"/>
        </w:rPr>
        <w:t>its annual report, quarterly newsletter</w:t>
      </w:r>
      <w:r w:rsidR="00265CB8">
        <w:rPr>
          <w:rFonts w:ascii="Calibri" w:eastAsia="Calibri" w:hAnsi="Calibri"/>
          <w:sz w:val="22"/>
          <w:szCs w:val="22"/>
        </w:rPr>
        <w:t>s</w:t>
      </w:r>
      <w:r w:rsidRPr="003C7631">
        <w:rPr>
          <w:rFonts w:ascii="Calibri" w:eastAsia="Calibri" w:hAnsi="Calibri"/>
          <w:sz w:val="22"/>
          <w:szCs w:val="22"/>
        </w:rPr>
        <w:t xml:space="preserve"> and monthly publication</w:t>
      </w:r>
      <w:r w:rsidR="00265CB8">
        <w:rPr>
          <w:rFonts w:ascii="Calibri" w:eastAsia="Calibri" w:hAnsi="Calibri"/>
          <w:sz w:val="22"/>
          <w:szCs w:val="22"/>
        </w:rPr>
        <w:t>s</w:t>
      </w:r>
      <w:r w:rsidRPr="003C7631">
        <w:rPr>
          <w:rFonts w:ascii="Calibri" w:eastAsia="Calibri" w:hAnsi="Calibri"/>
          <w:sz w:val="22"/>
          <w:szCs w:val="22"/>
        </w:rPr>
        <w:t xml:space="preserve"> of case outcomes</w:t>
      </w:r>
      <w:r w:rsidR="00756B6F">
        <w:rPr>
          <w:rFonts w:ascii="Calibri" w:eastAsia="Calibri" w:hAnsi="Calibri"/>
          <w:sz w:val="22"/>
          <w:szCs w:val="22"/>
        </w:rPr>
        <w:t xml:space="preserve">. </w:t>
      </w:r>
      <w:r w:rsidR="00FB7DE5">
        <w:rPr>
          <w:rFonts w:ascii="Calibri" w:eastAsia="Calibri" w:hAnsi="Calibri"/>
          <w:sz w:val="22"/>
          <w:szCs w:val="22"/>
        </w:rPr>
        <w:t>PSR does so whilst also</w:t>
      </w:r>
      <w:r w:rsidR="00541193">
        <w:rPr>
          <w:rFonts w:ascii="Calibri" w:eastAsia="Calibri" w:hAnsi="Calibri"/>
          <w:sz w:val="22"/>
          <w:szCs w:val="22"/>
        </w:rPr>
        <w:t xml:space="preserve"> </w:t>
      </w:r>
      <w:r w:rsidR="00336B08">
        <w:rPr>
          <w:rFonts w:ascii="Calibri" w:eastAsia="Calibri" w:hAnsi="Calibri"/>
          <w:sz w:val="22"/>
          <w:szCs w:val="22"/>
        </w:rPr>
        <w:t>prioritising the</w:t>
      </w:r>
      <w:r w:rsidRPr="003C7631">
        <w:rPr>
          <w:rFonts w:ascii="Calibri" w:eastAsia="Calibri" w:hAnsi="Calibri"/>
          <w:sz w:val="22"/>
          <w:szCs w:val="22"/>
        </w:rPr>
        <w:t xml:space="preserve"> protecti</w:t>
      </w:r>
      <w:r w:rsidR="00336B08">
        <w:rPr>
          <w:rFonts w:ascii="Calibri" w:eastAsia="Calibri" w:hAnsi="Calibri"/>
          <w:sz w:val="22"/>
          <w:szCs w:val="22"/>
        </w:rPr>
        <w:t>on of</w:t>
      </w:r>
      <w:r w:rsidRPr="003C7631">
        <w:rPr>
          <w:rFonts w:ascii="Calibri" w:eastAsia="Calibri" w:hAnsi="Calibri"/>
          <w:sz w:val="22"/>
          <w:szCs w:val="22"/>
        </w:rPr>
        <w:t xml:space="preserve"> personal information held by the agency.</w:t>
      </w:r>
    </w:p>
    <w:p w14:paraId="6B96B7F0" w14:textId="023A29F9"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PSR</w:t>
      </w:r>
      <w:r w:rsidR="00336B08">
        <w:rPr>
          <w:rFonts w:ascii="Calibri" w:eastAsia="Calibri" w:hAnsi="Calibri"/>
          <w:sz w:val="22"/>
          <w:szCs w:val="22"/>
        </w:rPr>
        <w:t>’s</w:t>
      </w:r>
      <w:r w:rsidRPr="003C7631">
        <w:rPr>
          <w:rFonts w:ascii="Calibri" w:eastAsia="Calibri" w:hAnsi="Calibri"/>
          <w:sz w:val="22"/>
          <w:szCs w:val="22"/>
        </w:rPr>
        <w:t xml:space="preserve"> annual report is tabled </w:t>
      </w:r>
      <w:r w:rsidR="00336B08">
        <w:rPr>
          <w:rFonts w:ascii="Calibri" w:eastAsia="Calibri" w:hAnsi="Calibri"/>
          <w:sz w:val="22"/>
          <w:szCs w:val="22"/>
        </w:rPr>
        <w:t xml:space="preserve">and published online </w:t>
      </w:r>
      <w:r w:rsidRPr="003C7631">
        <w:rPr>
          <w:rFonts w:ascii="Calibri" w:eastAsia="Calibri" w:hAnsi="Calibri"/>
          <w:sz w:val="22"/>
          <w:szCs w:val="22"/>
        </w:rPr>
        <w:t>every year</w:t>
      </w:r>
      <w:r w:rsidR="00336B08">
        <w:rPr>
          <w:rFonts w:ascii="Calibri" w:eastAsia="Calibri" w:hAnsi="Calibri"/>
          <w:sz w:val="22"/>
          <w:szCs w:val="22"/>
        </w:rPr>
        <w:t xml:space="preserve">. </w:t>
      </w:r>
      <w:r w:rsidRPr="003C7631">
        <w:rPr>
          <w:rFonts w:ascii="Calibri" w:eastAsia="Calibri" w:hAnsi="Calibri"/>
          <w:sz w:val="22"/>
          <w:szCs w:val="22"/>
        </w:rPr>
        <w:t xml:space="preserve">PSR </w:t>
      </w:r>
      <w:r w:rsidR="00336B08">
        <w:rPr>
          <w:rFonts w:ascii="Calibri" w:eastAsia="Calibri" w:hAnsi="Calibri"/>
          <w:sz w:val="22"/>
          <w:szCs w:val="22"/>
        </w:rPr>
        <w:t>responds to</w:t>
      </w:r>
      <w:r w:rsidRPr="003C7631">
        <w:rPr>
          <w:rFonts w:ascii="Calibri" w:eastAsia="Calibri" w:hAnsi="Calibri"/>
          <w:sz w:val="22"/>
          <w:szCs w:val="22"/>
        </w:rPr>
        <w:t xml:space="preserve"> questions </w:t>
      </w:r>
      <w:r w:rsidR="00336B08">
        <w:rPr>
          <w:rFonts w:ascii="Calibri" w:eastAsia="Calibri" w:hAnsi="Calibri"/>
          <w:sz w:val="22"/>
          <w:szCs w:val="22"/>
        </w:rPr>
        <w:t xml:space="preserve">at Senate estimates </w:t>
      </w:r>
      <w:r w:rsidRPr="003C7631">
        <w:rPr>
          <w:rFonts w:ascii="Calibri" w:eastAsia="Calibri" w:hAnsi="Calibri"/>
          <w:sz w:val="22"/>
          <w:szCs w:val="22"/>
        </w:rPr>
        <w:t>about its operations.</w:t>
      </w:r>
    </w:p>
    <w:p w14:paraId="101B522D" w14:textId="30DC5D91"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The PSR </w:t>
      </w:r>
      <w:r w:rsidR="00DA1E22">
        <w:rPr>
          <w:rFonts w:ascii="Calibri" w:eastAsia="Calibri" w:hAnsi="Calibri"/>
          <w:sz w:val="22"/>
          <w:szCs w:val="22"/>
        </w:rPr>
        <w:t xml:space="preserve">Panel </w:t>
      </w:r>
      <w:r w:rsidRPr="003C7631">
        <w:rPr>
          <w:rFonts w:ascii="Calibri" w:eastAsia="Calibri" w:hAnsi="Calibri"/>
          <w:sz w:val="22"/>
          <w:szCs w:val="22"/>
        </w:rPr>
        <w:t xml:space="preserve">quarterly newsletter is a relatively new initiative, commencing in 2018. In 2019, a review was undertaken </w:t>
      </w:r>
      <w:r w:rsidR="00336B08">
        <w:rPr>
          <w:rFonts w:ascii="Calibri" w:eastAsia="Calibri" w:hAnsi="Calibri"/>
          <w:sz w:val="22"/>
          <w:szCs w:val="22"/>
        </w:rPr>
        <w:t>of</w:t>
      </w:r>
      <w:r w:rsidRPr="003C7631">
        <w:rPr>
          <w:rFonts w:ascii="Calibri" w:eastAsia="Calibri" w:hAnsi="Calibri"/>
          <w:sz w:val="22"/>
          <w:szCs w:val="22"/>
        </w:rPr>
        <w:t xml:space="preserve"> newsletter content with feedback </w:t>
      </w:r>
      <w:r w:rsidR="00DA1E22">
        <w:rPr>
          <w:rFonts w:ascii="Calibri" w:eastAsia="Calibri" w:hAnsi="Calibri"/>
          <w:sz w:val="22"/>
          <w:szCs w:val="22"/>
        </w:rPr>
        <w:t xml:space="preserve">received </w:t>
      </w:r>
      <w:r w:rsidRPr="003C7631">
        <w:rPr>
          <w:rFonts w:ascii="Calibri" w:eastAsia="Calibri" w:hAnsi="Calibri"/>
          <w:sz w:val="22"/>
          <w:szCs w:val="22"/>
        </w:rPr>
        <w:t xml:space="preserve">from the AMA, medical indemnity providers, and the Department. A revised newsletter format was instigated from 2019. PSR </w:t>
      </w:r>
      <w:r w:rsidR="00336B08">
        <w:rPr>
          <w:rFonts w:ascii="Calibri" w:eastAsia="Calibri" w:hAnsi="Calibri"/>
          <w:sz w:val="22"/>
          <w:szCs w:val="22"/>
        </w:rPr>
        <w:t xml:space="preserve">Panel </w:t>
      </w:r>
      <w:r w:rsidRPr="003C7631">
        <w:rPr>
          <w:rFonts w:ascii="Calibri" w:eastAsia="Calibri" w:hAnsi="Calibri"/>
          <w:sz w:val="22"/>
          <w:szCs w:val="22"/>
        </w:rPr>
        <w:t>newsletters are published on the website and an email list is available for any interested party to request addition to the mailing list. The mailing list includes all relevant stakeholders as well as PSR Panel members.</w:t>
      </w:r>
    </w:p>
    <w:p w14:paraId="032C2FB0" w14:textId="15DC720F"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In the past, PSR did not consistently publish case outcomes. Since 2017, the Agency has published a monthly report of the outcomes of cases on its website. Summary content has been developed in consultation with the major practitioner defence insurers, </w:t>
      </w:r>
      <w:r w:rsidR="004D1754">
        <w:rPr>
          <w:rFonts w:ascii="Calibri" w:eastAsia="Calibri" w:hAnsi="Calibri"/>
          <w:sz w:val="22"/>
          <w:szCs w:val="22"/>
        </w:rPr>
        <w:t xml:space="preserve">the </w:t>
      </w:r>
      <w:r w:rsidRPr="003C7631">
        <w:rPr>
          <w:rFonts w:ascii="Calibri" w:eastAsia="Calibri" w:hAnsi="Calibri"/>
          <w:sz w:val="22"/>
          <w:szCs w:val="22"/>
        </w:rPr>
        <w:t xml:space="preserve">AMA and Colleges and is reviewed biannually with stakeholders.  </w:t>
      </w:r>
    </w:p>
    <w:p w14:paraId="512E3446" w14:textId="0A90B5E6"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Matters where a s</w:t>
      </w:r>
      <w:r w:rsidR="004D1754">
        <w:rPr>
          <w:rFonts w:ascii="Calibri" w:eastAsia="Calibri" w:hAnsi="Calibri"/>
          <w:sz w:val="22"/>
          <w:szCs w:val="22"/>
        </w:rPr>
        <w:t xml:space="preserve">ection </w:t>
      </w:r>
      <w:r w:rsidRPr="003C7631">
        <w:rPr>
          <w:rFonts w:ascii="Calibri" w:eastAsia="Calibri" w:hAnsi="Calibri"/>
          <w:sz w:val="22"/>
          <w:szCs w:val="22"/>
        </w:rPr>
        <w:t>91 outcome is made (to dismiss the review and take no further action) are not published. This is because no finding of inappropriate practice has been made.</w:t>
      </w:r>
    </w:p>
    <w:p w14:paraId="74984A41" w14:textId="5974B538"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Matters where a s</w:t>
      </w:r>
      <w:r w:rsidR="004D1754">
        <w:rPr>
          <w:rFonts w:ascii="Calibri" w:eastAsia="Calibri" w:hAnsi="Calibri"/>
          <w:sz w:val="22"/>
          <w:szCs w:val="22"/>
        </w:rPr>
        <w:t xml:space="preserve">ection </w:t>
      </w:r>
      <w:r w:rsidRPr="003C7631">
        <w:rPr>
          <w:rFonts w:ascii="Calibri" w:eastAsia="Calibri" w:hAnsi="Calibri"/>
          <w:sz w:val="22"/>
          <w:szCs w:val="22"/>
        </w:rPr>
        <w:t xml:space="preserve">92 outcome is made (negotiated </w:t>
      </w:r>
      <w:r w:rsidR="004D1754">
        <w:rPr>
          <w:rFonts w:ascii="Calibri" w:eastAsia="Calibri" w:hAnsi="Calibri"/>
          <w:sz w:val="22"/>
          <w:szCs w:val="22"/>
        </w:rPr>
        <w:t xml:space="preserve">agreement between the PUR and the Director, </w:t>
      </w:r>
      <w:r w:rsidRPr="003C7631">
        <w:rPr>
          <w:rFonts w:ascii="Calibri" w:eastAsia="Calibri" w:hAnsi="Calibri"/>
          <w:sz w:val="22"/>
          <w:szCs w:val="22"/>
        </w:rPr>
        <w:t xml:space="preserve">where the </w:t>
      </w:r>
      <w:r w:rsidR="00265CB8">
        <w:rPr>
          <w:rFonts w:ascii="Calibri" w:eastAsia="Calibri" w:hAnsi="Calibri"/>
          <w:sz w:val="22"/>
          <w:szCs w:val="22"/>
        </w:rPr>
        <w:t>PUR</w:t>
      </w:r>
      <w:r w:rsidR="00265CB8" w:rsidRPr="003C7631">
        <w:rPr>
          <w:rFonts w:ascii="Calibri" w:eastAsia="Calibri" w:hAnsi="Calibri"/>
          <w:sz w:val="22"/>
          <w:szCs w:val="22"/>
        </w:rPr>
        <w:t xml:space="preserve"> </w:t>
      </w:r>
      <w:r w:rsidRPr="003C7631">
        <w:rPr>
          <w:rFonts w:ascii="Calibri" w:eastAsia="Calibri" w:hAnsi="Calibri"/>
          <w:sz w:val="22"/>
          <w:szCs w:val="22"/>
        </w:rPr>
        <w:t>makes a voluntary acknowledgement of inappropriate practice) are published on the case outcomes</w:t>
      </w:r>
      <w:r w:rsidR="00F508AB">
        <w:rPr>
          <w:rFonts w:ascii="Calibri" w:eastAsia="Calibri" w:hAnsi="Calibri"/>
          <w:sz w:val="22"/>
          <w:szCs w:val="22"/>
        </w:rPr>
        <w:t xml:space="preserve"> page of the</w:t>
      </w:r>
      <w:r w:rsidRPr="003C7631">
        <w:rPr>
          <w:rFonts w:ascii="Calibri" w:eastAsia="Calibri" w:hAnsi="Calibri"/>
          <w:sz w:val="22"/>
          <w:szCs w:val="22"/>
        </w:rPr>
        <w:t xml:space="preserve"> website each month. Currently the website case summaries include the discipline of the practitioner, a context to the review, the items investigated, the issues of concern and the outcome negotiated. These summaries are anonymised so as </w:t>
      </w:r>
      <w:r w:rsidR="004D1754">
        <w:rPr>
          <w:rFonts w:ascii="Calibri" w:eastAsia="Calibri" w:hAnsi="Calibri"/>
          <w:sz w:val="22"/>
          <w:szCs w:val="22"/>
        </w:rPr>
        <w:t xml:space="preserve">to comply with section 130 and to </w:t>
      </w:r>
      <w:r w:rsidRPr="003C7631">
        <w:rPr>
          <w:rFonts w:ascii="Calibri" w:eastAsia="Calibri" w:hAnsi="Calibri"/>
          <w:sz w:val="22"/>
          <w:szCs w:val="22"/>
        </w:rPr>
        <w:t xml:space="preserve">not reveal personal information about </w:t>
      </w:r>
      <w:r w:rsidR="004D1754">
        <w:rPr>
          <w:rFonts w:ascii="Calibri" w:eastAsia="Calibri" w:hAnsi="Calibri"/>
          <w:sz w:val="22"/>
          <w:szCs w:val="22"/>
        </w:rPr>
        <w:t xml:space="preserve">these </w:t>
      </w:r>
      <w:r w:rsidRPr="003C7631">
        <w:rPr>
          <w:rFonts w:ascii="Calibri" w:eastAsia="Calibri" w:hAnsi="Calibri"/>
          <w:sz w:val="22"/>
          <w:szCs w:val="22"/>
        </w:rPr>
        <w:t>practitioners.</w:t>
      </w:r>
    </w:p>
    <w:p w14:paraId="116594E1" w14:textId="0BCE3E12"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Matters </w:t>
      </w:r>
      <w:r w:rsidR="00E37269">
        <w:rPr>
          <w:rFonts w:ascii="Calibri" w:eastAsia="Calibri" w:hAnsi="Calibri"/>
          <w:sz w:val="22"/>
          <w:szCs w:val="22"/>
        </w:rPr>
        <w:t>referred to a peer review Committee under</w:t>
      </w:r>
      <w:r w:rsidRPr="003C7631">
        <w:rPr>
          <w:rFonts w:ascii="Calibri" w:eastAsia="Calibri" w:hAnsi="Calibri"/>
          <w:sz w:val="22"/>
          <w:szCs w:val="22"/>
        </w:rPr>
        <w:t xml:space="preserve"> s</w:t>
      </w:r>
      <w:r w:rsidR="004D1754">
        <w:rPr>
          <w:rFonts w:ascii="Calibri" w:eastAsia="Calibri" w:hAnsi="Calibri"/>
          <w:sz w:val="22"/>
          <w:szCs w:val="22"/>
        </w:rPr>
        <w:t xml:space="preserve">ection </w:t>
      </w:r>
      <w:r w:rsidRPr="003C7631">
        <w:rPr>
          <w:rFonts w:ascii="Calibri" w:eastAsia="Calibri" w:hAnsi="Calibri"/>
          <w:sz w:val="22"/>
          <w:szCs w:val="22"/>
        </w:rPr>
        <w:t>93 and where the Committee make</w:t>
      </w:r>
      <w:r w:rsidR="00E37269">
        <w:rPr>
          <w:rFonts w:ascii="Calibri" w:eastAsia="Calibri" w:hAnsi="Calibri"/>
          <w:sz w:val="22"/>
          <w:szCs w:val="22"/>
        </w:rPr>
        <w:t>s</w:t>
      </w:r>
      <w:r w:rsidRPr="003C7631">
        <w:rPr>
          <w:rFonts w:ascii="Calibri" w:eastAsia="Calibri" w:hAnsi="Calibri"/>
          <w:sz w:val="22"/>
          <w:szCs w:val="22"/>
        </w:rPr>
        <w:t xml:space="preserve"> a finding of inappropriate practice</w:t>
      </w:r>
      <w:r w:rsidR="00E37269">
        <w:rPr>
          <w:rFonts w:ascii="Calibri" w:eastAsia="Calibri" w:hAnsi="Calibri"/>
          <w:sz w:val="22"/>
          <w:szCs w:val="22"/>
        </w:rPr>
        <w:t>,</w:t>
      </w:r>
      <w:r w:rsidR="00E37269" w:rsidRPr="003C7631">
        <w:rPr>
          <w:rFonts w:ascii="Calibri" w:eastAsia="Calibri" w:hAnsi="Calibri"/>
          <w:sz w:val="22"/>
          <w:szCs w:val="22"/>
        </w:rPr>
        <w:t xml:space="preserve"> </w:t>
      </w:r>
      <w:r w:rsidRPr="003C7631">
        <w:rPr>
          <w:rFonts w:ascii="Calibri" w:eastAsia="Calibri" w:hAnsi="Calibri"/>
          <w:sz w:val="22"/>
          <w:szCs w:val="22"/>
        </w:rPr>
        <w:t xml:space="preserve">are also published on the case outcomes </w:t>
      </w:r>
      <w:r w:rsidR="00F508AB">
        <w:rPr>
          <w:rFonts w:ascii="Calibri" w:eastAsia="Calibri" w:hAnsi="Calibri"/>
          <w:sz w:val="22"/>
          <w:szCs w:val="22"/>
        </w:rPr>
        <w:t>page of the</w:t>
      </w:r>
      <w:r w:rsidR="00F508AB" w:rsidRPr="003C7631">
        <w:rPr>
          <w:rFonts w:ascii="Calibri" w:eastAsia="Calibri" w:hAnsi="Calibri"/>
          <w:sz w:val="22"/>
          <w:szCs w:val="22"/>
        </w:rPr>
        <w:t xml:space="preserve"> </w:t>
      </w:r>
      <w:r w:rsidRPr="003C7631">
        <w:rPr>
          <w:rFonts w:ascii="Calibri" w:eastAsia="Calibri" w:hAnsi="Calibri"/>
          <w:sz w:val="22"/>
          <w:szCs w:val="22"/>
        </w:rPr>
        <w:t xml:space="preserve">website each month. These summaries are more extensive and may involve naming the practitioner. PSR has </w:t>
      </w:r>
      <w:r w:rsidR="002746CC">
        <w:rPr>
          <w:rFonts w:ascii="Calibri" w:eastAsia="Calibri" w:hAnsi="Calibri"/>
          <w:sz w:val="22"/>
          <w:szCs w:val="22"/>
        </w:rPr>
        <w:t xml:space="preserve">published </w:t>
      </w:r>
      <w:r w:rsidRPr="003C7631">
        <w:rPr>
          <w:rFonts w:ascii="Calibri" w:eastAsia="Calibri" w:hAnsi="Calibri"/>
          <w:sz w:val="22"/>
          <w:szCs w:val="22"/>
        </w:rPr>
        <w:t>a policy on naming of practitioners</w:t>
      </w:r>
      <w:r w:rsidR="002746CC">
        <w:rPr>
          <w:rFonts w:ascii="Calibri" w:eastAsia="Calibri" w:hAnsi="Calibri"/>
          <w:sz w:val="22"/>
          <w:szCs w:val="22"/>
        </w:rPr>
        <w:t>, which was developed</w:t>
      </w:r>
      <w:r w:rsidRPr="003C7631">
        <w:rPr>
          <w:rFonts w:ascii="Calibri" w:eastAsia="Calibri" w:hAnsi="Calibri"/>
          <w:sz w:val="22"/>
          <w:szCs w:val="22"/>
        </w:rPr>
        <w:t xml:space="preserve"> in consultation with the Department and </w:t>
      </w:r>
      <w:r w:rsidR="004D1754">
        <w:rPr>
          <w:rFonts w:ascii="Calibri" w:eastAsia="Calibri" w:hAnsi="Calibri"/>
          <w:sz w:val="22"/>
          <w:szCs w:val="22"/>
        </w:rPr>
        <w:t xml:space="preserve">the </w:t>
      </w:r>
      <w:proofErr w:type="gramStart"/>
      <w:r w:rsidR="004D1754">
        <w:rPr>
          <w:rFonts w:ascii="Calibri" w:eastAsia="Calibri" w:hAnsi="Calibri"/>
          <w:sz w:val="22"/>
          <w:szCs w:val="22"/>
        </w:rPr>
        <w:t xml:space="preserve">AMA </w:t>
      </w:r>
      <w:r w:rsidRPr="003C7631">
        <w:rPr>
          <w:rFonts w:ascii="Calibri" w:eastAsia="Calibri" w:hAnsi="Calibri"/>
          <w:sz w:val="22"/>
          <w:szCs w:val="22"/>
        </w:rPr>
        <w:t>.</w:t>
      </w:r>
      <w:proofErr w:type="gramEnd"/>
    </w:p>
    <w:p w14:paraId="010D398F" w14:textId="77777777" w:rsidR="003C7631" w:rsidRPr="00DA1E22" w:rsidRDefault="003C7631" w:rsidP="00274F09">
      <w:pPr>
        <w:overflowPunct/>
        <w:autoSpaceDE/>
        <w:autoSpaceDN/>
        <w:adjustRightInd/>
        <w:spacing w:line="259" w:lineRule="auto"/>
        <w:textAlignment w:val="auto"/>
        <w:rPr>
          <w:rFonts w:ascii="Calibri" w:eastAsia="Calibri" w:hAnsi="Calibri"/>
          <w:b/>
          <w:sz w:val="22"/>
          <w:szCs w:val="22"/>
        </w:rPr>
      </w:pPr>
      <w:r w:rsidRPr="00DA1E22">
        <w:rPr>
          <w:rFonts w:ascii="Calibri" w:eastAsia="Calibri" w:hAnsi="Calibri"/>
          <w:b/>
          <w:sz w:val="22"/>
          <w:szCs w:val="22"/>
        </w:rPr>
        <w:t>Explaining the process to stakeholders</w:t>
      </w:r>
    </w:p>
    <w:p w14:paraId="7365D0CD" w14:textId="73785EC5"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The Director </w:t>
      </w:r>
      <w:r w:rsidR="00F508AB">
        <w:rPr>
          <w:rFonts w:ascii="Calibri" w:eastAsia="Calibri" w:hAnsi="Calibri"/>
          <w:sz w:val="22"/>
          <w:szCs w:val="22"/>
        </w:rPr>
        <w:t xml:space="preserve">of PSR </w:t>
      </w:r>
      <w:r w:rsidRPr="003C7631">
        <w:rPr>
          <w:rFonts w:ascii="Calibri" w:eastAsia="Calibri" w:hAnsi="Calibri"/>
          <w:sz w:val="22"/>
          <w:szCs w:val="22"/>
        </w:rPr>
        <w:t>engages regularly with stakeholders and meets to discuss any concerns they may have in relation to compliance. A list of key stakeholder meetings are published in the annual report each year.</w:t>
      </w:r>
    </w:p>
    <w:p w14:paraId="24084EF9" w14:textId="77777777"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lastRenderedPageBreak/>
        <w:t>The PSR website also explains the review process in detail.</w:t>
      </w:r>
    </w:p>
    <w:p w14:paraId="6DCA6744" w14:textId="022FF11D"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also has a feedback </w:t>
      </w:r>
      <w:r w:rsidR="00F508AB">
        <w:rPr>
          <w:rFonts w:ascii="Calibri" w:eastAsia="Calibri" w:hAnsi="Calibri"/>
          <w:sz w:val="22"/>
          <w:szCs w:val="22"/>
        </w:rPr>
        <w:t>email in</w:t>
      </w:r>
      <w:r w:rsidRPr="003C7631">
        <w:rPr>
          <w:rFonts w:ascii="Calibri" w:eastAsia="Calibri" w:hAnsi="Calibri"/>
          <w:sz w:val="22"/>
          <w:szCs w:val="22"/>
        </w:rPr>
        <w:t>box and responds to requests made by individuals about compliance where appropriate, and in other cases refers questions to the Department</w:t>
      </w:r>
      <w:r w:rsidR="00C44E5F">
        <w:rPr>
          <w:rFonts w:ascii="Calibri" w:eastAsia="Calibri" w:hAnsi="Calibri"/>
          <w:sz w:val="22"/>
          <w:szCs w:val="22"/>
        </w:rPr>
        <w:t xml:space="preserve"> </w:t>
      </w:r>
      <w:r w:rsidRPr="003C7631">
        <w:rPr>
          <w:rFonts w:ascii="Calibri" w:eastAsia="Calibri" w:hAnsi="Calibri"/>
          <w:sz w:val="22"/>
          <w:szCs w:val="22"/>
        </w:rPr>
        <w:t>for a response.</w:t>
      </w:r>
    </w:p>
    <w:p w14:paraId="08E8A07B" w14:textId="4171C1E7"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provides input into the </w:t>
      </w:r>
      <w:proofErr w:type="spellStart"/>
      <w:r w:rsidRPr="003C7631">
        <w:rPr>
          <w:rFonts w:ascii="Calibri" w:eastAsia="Calibri" w:hAnsi="Calibri"/>
          <w:sz w:val="22"/>
          <w:szCs w:val="22"/>
        </w:rPr>
        <w:t>AskMBS</w:t>
      </w:r>
      <w:proofErr w:type="spellEnd"/>
      <w:r w:rsidRPr="003C7631">
        <w:rPr>
          <w:rFonts w:ascii="Calibri" w:eastAsia="Calibri" w:hAnsi="Calibri"/>
          <w:sz w:val="22"/>
          <w:szCs w:val="22"/>
        </w:rPr>
        <w:t xml:space="preserve"> guidelines, providing feedback on how peer review Committees have interpreted an item number.</w:t>
      </w:r>
    </w:p>
    <w:p w14:paraId="5F613D10" w14:textId="77777777" w:rsidR="003C7631" w:rsidRPr="00DA1E22" w:rsidRDefault="003C7631" w:rsidP="00274F09">
      <w:pPr>
        <w:overflowPunct/>
        <w:autoSpaceDE/>
        <w:autoSpaceDN/>
        <w:adjustRightInd/>
        <w:spacing w:line="259" w:lineRule="auto"/>
        <w:textAlignment w:val="auto"/>
        <w:rPr>
          <w:rFonts w:ascii="Calibri" w:eastAsia="Calibri" w:hAnsi="Calibri"/>
          <w:b/>
          <w:sz w:val="22"/>
          <w:szCs w:val="22"/>
        </w:rPr>
      </w:pPr>
      <w:r w:rsidRPr="00DA1E22">
        <w:rPr>
          <w:rFonts w:ascii="Calibri" w:eastAsia="Calibri" w:hAnsi="Calibri"/>
          <w:b/>
          <w:sz w:val="22"/>
          <w:szCs w:val="22"/>
        </w:rPr>
        <w:t xml:space="preserve">Informing practitioners or employer/corporates of their rights and responsibilities </w:t>
      </w:r>
    </w:p>
    <w:p w14:paraId="3070795D" w14:textId="0FEBD09C"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PSR has several strategies to inform those referred for review of their rights and responsibilities.</w:t>
      </w:r>
    </w:p>
    <w:p w14:paraId="65ECA380" w14:textId="27C176BF"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Firstly, the </w:t>
      </w:r>
      <w:r w:rsidR="00C44E5F">
        <w:rPr>
          <w:rFonts w:ascii="Calibri" w:eastAsia="Calibri" w:hAnsi="Calibri"/>
          <w:sz w:val="22"/>
          <w:szCs w:val="22"/>
        </w:rPr>
        <w:t>a</w:t>
      </w:r>
      <w:r w:rsidRPr="003C7631">
        <w:rPr>
          <w:rFonts w:ascii="Calibri" w:eastAsia="Calibri" w:hAnsi="Calibri"/>
          <w:sz w:val="22"/>
          <w:szCs w:val="22"/>
        </w:rPr>
        <w:t>gency publishes information on its website and in a booklet, which is provided to each person under review at the start of the PSR process.</w:t>
      </w:r>
    </w:p>
    <w:p w14:paraId="4249409D" w14:textId="04419E56"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Secondly, the </w:t>
      </w:r>
      <w:r w:rsidR="00C44E5F">
        <w:rPr>
          <w:rFonts w:ascii="Calibri" w:eastAsia="Calibri" w:hAnsi="Calibri"/>
          <w:sz w:val="22"/>
          <w:szCs w:val="22"/>
        </w:rPr>
        <w:t>a</w:t>
      </w:r>
      <w:r w:rsidRPr="003C7631">
        <w:rPr>
          <w:rFonts w:ascii="Calibri" w:eastAsia="Calibri" w:hAnsi="Calibri"/>
          <w:sz w:val="22"/>
          <w:szCs w:val="22"/>
        </w:rPr>
        <w:t>gency encourages legal representation at every step of our process. We regularly engage with the indemnity insurers and their legal staff, meeting each year to discuss issues collectively, and also providing feedback to queries and co</w:t>
      </w:r>
      <w:r w:rsidR="00C44E5F">
        <w:rPr>
          <w:rFonts w:ascii="Calibri" w:eastAsia="Calibri" w:hAnsi="Calibri"/>
          <w:sz w:val="22"/>
          <w:szCs w:val="22"/>
        </w:rPr>
        <w:t>ntributing to</w:t>
      </w:r>
      <w:r w:rsidRPr="003C7631">
        <w:rPr>
          <w:rFonts w:ascii="Calibri" w:eastAsia="Calibri" w:hAnsi="Calibri"/>
          <w:sz w:val="22"/>
          <w:szCs w:val="22"/>
        </w:rPr>
        <w:t xml:space="preserve"> articles in their newsletters to their members.</w:t>
      </w:r>
    </w:p>
    <w:p w14:paraId="0F409C15" w14:textId="6463F094"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communications highlight relevant rights and responsibilities of </w:t>
      </w:r>
      <w:r w:rsidR="00C44E5F">
        <w:rPr>
          <w:rFonts w:ascii="Calibri" w:eastAsia="Calibri" w:hAnsi="Calibri"/>
          <w:sz w:val="22"/>
          <w:szCs w:val="22"/>
        </w:rPr>
        <w:t>persons</w:t>
      </w:r>
      <w:r w:rsidRPr="003C7631">
        <w:rPr>
          <w:rFonts w:ascii="Calibri" w:eastAsia="Calibri" w:hAnsi="Calibri"/>
          <w:sz w:val="22"/>
          <w:szCs w:val="22"/>
        </w:rPr>
        <w:t xml:space="preserve"> under review by highlighting the relevant legislation and attaching it to correspondence. </w:t>
      </w:r>
    </w:p>
    <w:p w14:paraId="3CB08B53" w14:textId="33D2D841"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Finally, the </w:t>
      </w:r>
      <w:r w:rsidR="00C44E5F">
        <w:rPr>
          <w:rFonts w:ascii="Calibri" w:eastAsia="Calibri" w:hAnsi="Calibri"/>
          <w:sz w:val="22"/>
          <w:szCs w:val="22"/>
        </w:rPr>
        <w:t>a</w:t>
      </w:r>
      <w:r w:rsidRPr="003C7631">
        <w:rPr>
          <w:rFonts w:ascii="Calibri" w:eastAsia="Calibri" w:hAnsi="Calibri"/>
          <w:sz w:val="22"/>
          <w:szCs w:val="22"/>
        </w:rPr>
        <w:t>gency has a commitment to act as a model litigant, meaning we ensure to co-operate fully with all requests and disclosures in any litigation matter.</w:t>
      </w:r>
    </w:p>
    <w:p w14:paraId="5BDDC3BF" w14:textId="77777777" w:rsidR="003C7631" w:rsidRPr="00DA1E22" w:rsidRDefault="003C7631" w:rsidP="00274F09">
      <w:pPr>
        <w:overflowPunct/>
        <w:autoSpaceDE/>
        <w:autoSpaceDN/>
        <w:adjustRightInd/>
        <w:spacing w:line="259" w:lineRule="auto"/>
        <w:textAlignment w:val="auto"/>
        <w:rPr>
          <w:rFonts w:ascii="Calibri" w:eastAsia="Calibri" w:hAnsi="Calibri"/>
          <w:b/>
          <w:sz w:val="22"/>
          <w:szCs w:val="22"/>
        </w:rPr>
      </w:pPr>
      <w:r w:rsidRPr="00DA1E22">
        <w:rPr>
          <w:rFonts w:ascii="Calibri" w:eastAsia="Calibri" w:hAnsi="Calibri"/>
          <w:b/>
          <w:sz w:val="22"/>
          <w:szCs w:val="22"/>
        </w:rPr>
        <w:t xml:space="preserve">Sharing information about the scheme, our outcomes and activities </w:t>
      </w:r>
    </w:p>
    <w:p w14:paraId="65AB52FF" w14:textId="6F954597"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The </w:t>
      </w:r>
      <w:r w:rsidR="00C44E5F">
        <w:rPr>
          <w:rFonts w:ascii="Calibri" w:eastAsia="Calibri" w:hAnsi="Calibri"/>
          <w:sz w:val="22"/>
          <w:szCs w:val="22"/>
        </w:rPr>
        <w:t>a</w:t>
      </w:r>
      <w:r w:rsidRPr="003C7631">
        <w:rPr>
          <w:rFonts w:ascii="Calibri" w:eastAsia="Calibri" w:hAnsi="Calibri"/>
          <w:sz w:val="22"/>
          <w:szCs w:val="22"/>
        </w:rPr>
        <w:t xml:space="preserve">gency shares information about the </w:t>
      </w:r>
      <w:r w:rsidR="00C44E5F">
        <w:rPr>
          <w:rFonts w:ascii="Calibri" w:eastAsia="Calibri" w:hAnsi="Calibri"/>
          <w:sz w:val="22"/>
          <w:szCs w:val="22"/>
        </w:rPr>
        <w:t>s</w:t>
      </w:r>
      <w:r w:rsidRPr="003C7631">
        <w:rPr>
          <w:rFonts w:ascii="Calibri" w:eastAsia="Calibri" w:hAnsi="Calibri"/>
          <w:sz w:val="22"/>
          <w:szCs w:val="22"/>
        </w:rPr>
        <w:t xml:space="preserve">cheme through the annual report, quarterly newsletters, </w:t>
      </w:r>
      <w:proofErr w:type="gramStart"/>
      <w:r w:rsidRPr="003C7631">
        <w:rPr>
          <w:rFonts w:ascii="Calibri" w:eastAsia="Calibri" w:hAnsi="Calibri"/>
          <w:sz w:val="22"/>
          <w:szCs w:val="22"/>
        </w:rPr>
        <w:t>monthly</w:t>
      </w:r>
      <w:proofErr w:type="gramEnd"/>
      <w:r w:rsidRPr="003C7631">
        <w:rPr>
          <w:rFonts w:ascii="Calibri" w:eastAsia="Calibri" w:hAnsi="Calibri"/>
          <w:sz w:val="22"/>
          <w:szCs w:val="22"/>
        </w:rPr>
        <w:t xml:space="preserve"> case outcomes documented on our website, regular meetings with stakeholders, </w:t>
      </w:r>
      <w:r w:rsidR="00C44E5F">
        <w:rPr>
          <w:rFonts w:ascii="Calibri" w:eastAsia="Calibri" w:hAnsi="Calibri"/>
          <w:sz w:val="22"/>
          <w:szCs w:val="22"/>
        </w:rPr>
        <w:t xml:space="preserve">and </w:t>
      </w:r>
      <w:r w:rsidRPr="003C7631">
        <w:rPr>
          <w:rFonts w:ascii="Calibri" w:eastAsia="Calibri" w:hAnsi="Calibri"/>
          <w:sz w:val="22"/>
          <w:szCs w:val="22"/>
        </w:rPr>
        <w:t xml:space="preserve">providing input into </w:t>
      </w:r>
      <w:proofErr w:type="spellStart"/>
      <w:r w:rsidRPr="003C7631">
        <w:rPr>
          <w:rFonts w:ascii="Calibri" w:eastAsia="Calibri" w:hAnsi="Calibri"/>
          <w:sz w:val="22"/>
          <w:szCs w:val="22"/>
        </w:rPr>
        <w:t>AskMBS</w:t>
      </w:r>
      <w:proofErr w:type="spellEnd"/>
      <w:r w:rsidRPr="003C7631">
        <w:rPr>
          <w:rFonts w:ascii="Calibri" w:eastAsia="Calibri" w:hAnsi="Calibri"/>
          <w:sz w:val="22"/>
          <w:szCs w:val="22"/>
        </w:rPr>
        <w:t xml:space="preserve">. PSR also shares case feedback with the Department of Health compliance team every month </w:t>
      </w:r>
      <w:r w:rsidR="00C44E5F">
        <w:rPr>
          <w:rFonts w:ascii="Calibri" w:eastAsia="Calibri" w:hAnsi="Calibri"/>
          <w:sz w:val="22"/>
          <w:szCs w:val="22"/>
        </w:rPr>
        <w:t>regarding</w:t>
      </w:r>
      <w:r w:rsidRPr="003C7631">
        <w:rPr>
          <w:rFonts w:ascii="Calibri" w:eastAsia="Calibri" w:hAnsi="Calibri"/>
          <w:sz w:val="22"/>
          <w:szCs w:val="22"/>
        </w:rPr>
        <w:t xml:space="preserve"> </w:t>
      </w:r>
      <w:r w:rsidR="00C44E5F">
        <w:rPr>
          <w:rFonts w:ascii="Calibri" w:eastAsia="Calibri" w:hAnsi="Calibri"/>
          <w:sz w:val="22"/>
          <w:szCs w:val="22"/>
        </w:rPr>
        <w:t>any</w:t>
      </w:r>
      <w:r w:rsidRPr="003C7631">
        <w:rPr>
          <w:rFonts w:ascii="Calibri" w:eastAsia="Calibri" w:hAnsi="Calibri"/>
          <w:sz w:val="22"/>
          <w:szCs w:val="22"/>
        </w:rPr>
        <w:t xml:space="preserve"> issues identified, and meets regularly with practitioner indemnity providers and private hospital associations to share concerns.</w:t>
      </w:r>
    </w:p>
    <w:p w14:paraId="789BEDF4" w14:textId="62F9DE91"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The Director of PSR speaks at many annual conferences to share compliance outcomes with the professions. In the pre-COVID period, the Director spoke at approximately 10 national conferences</w:t>
      </w:r>
      <w:r w:rsidR="00C44E5F">
        <w:rPr>
          <w:rFonts w:ascii="Calibri" w:eastAsia="Calibri" w:hAnsi="Calibri"/>
          <w:sz w:val="22"/>
          <w:szCs w:val="22"/>
        </w:rPr>
        <w:t xml:space="preserve"> per annum</w:t>
      </w:r>
      <w:r w:rsidRPr="003C7631">
        <w:rPr>
          <w:rFonts w:ascii="Calibri" w:eastAsia="Calibri" w:hAnsi="Calibri"/>
          <w:sz w:val="22"/>
          <w:szCs w:val="22"/>
        </w:rPr>
        <w:t xml:space="preserve"> directly reaching thousands of members of the various professions. </w:t>
      </w:r>
    </w:p>
    <w:p w14:paraId="1104AA5F" w14:textId="26DC593D"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The </w:t>
      </w:r>
      <w:r w:rsidR="00C44E5F">
        <w:rPr>
          <w:rFonts w:ascii="Calibri" w:eastAsia="Calibri" w:hAnsi="Calibri"/>
          <w:sz w:val="22"/>
          <w:szCs w:val="22"/>
        </w:rPr>
        <w:t>a</w:t>
      </w:r>
      <w:r w:rsidRPr="003C7631">
        <w:rPr>
          <w:rFonts w:ascii="Calibri" w:eastAsia="Calibri" w:hAnsi="Calibri"/>
          <w:sz w:val="22"/>
          <w:szCs w:val="22"/>
        </w:rPr>
        <w:t>gency also publishes key points from any matter litigated in the Federal Court.</w:t>
      </w:r>
    </w:p>
    <w:p w14:paraId="60A0522B" w14:textId="04D37099" w:rsidR="003C7631" w:rsidRPr="003C7631" w:rsidRDefault="003C7631" w:rsidP="00956539">
      <w:pPr>
        <w:pStyle w:val="PSRHeading4"/>
        <w:spacing w:before="360" w:after="480"/>
        <w:ind w:left="357" w:hanging="357"/>
        <w:rPr>
          <w:rFonts w:eastAsia="Calibri"/>
        </w:rPr>
      </w:pPr>
      <w:r w:rsidRPr="003C7631">
        <w:rPr>
          <w:rFonts w:eastAsia="Calibri"/>
        </w:rPr>
        <w:t xml:space="preserve">RELATIONSHIP WITH </w:t>
      </w:r>
      <w:r w:rsidR="00613F4F">
        <w:rPr>
          <w:rFonts w:eastAsia="Calibri"/>
        </w:rPr>
        <w:t xml:space="preserve">THE </w:t>
      </w:r>
      <w:r w:rsidRPr="003C7631">
        <w:rPr>
          <w:rFonts w:eastAsia="Calibri"/>
        </w:rPr>
        <w:t xml:space="preserve">MINISTER AND </w:t>
      </w:r>
      <w:r w:rsidR="00C44E5F">
        <w:rPr>
          <w:rFonts w:eastAsia="Calibri"/>
        </w:rPr>
        <w:t xml:space="preserve">HEALTH </w:t>
      </w:r>
      <w:r w:rsidRPr="003C7631">
        <w:rPr>
          <w:rFonts w:eastAsia="Calibri"/>
        </w:rPr>
        <w:t>PORTFOLIO</w:t>
      </w:r>
    </w:p>
    <w:p w14:paraId="017D23C7" w14:textId="519B1F96"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PSR maintains a close relationship with the Department of Health. Specifically, PSR:</w:t>
      </w:r>
    </w:p>
    <w:p w14:paraId="38D228D7" w14:textId="4C9B9BA7" w:rsidR="003C7631" w:rsidRPr="003C7631" w:rsidRDefault="00C44E5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i</w:t>
      </w:r>
      <w:r w:rsidR="003C7631" w:rsidRPr="003C7631">
        <w:rPr>
          <w:rFonts w:ascii="Calibri" w:eastAsia="Calibri" w:hAnsi="Calibri"/>
          <w:sz w:val="22"/>
          <w:szCs w:val="22"/>
        </w:rPr>
        <w:t xml:space="preserve">nforms the Department of key meetings with stakeholders and any </w:t>
      </w:r>
      <w:r>
        <w:rPr>
          <w:rFonts w:ascii="Calibri" w:eastAsia="Calibri" w:hAnsi="Calibri"/>
          <w:sz w:val="22"/>
          <w:szCs w:val="22"/>
        </w:rPr>
        <w:t xml:space="preserve">resulting </w:t>
      </w:r>
      <w:r w:rsidR="003C7631" w:rsidRPr="003C7631">
        <w:rPr>
          <w:rFonts w:ascii="Calibri" w:eastAsia="Calibri" w:hAnsi="Calibri"/>
          <w:sz w:val="22"/>
          <w:szCs w:val="22"/>
        </w:rPr>
        <w:t>significant outcomes through meetings with the Deputy Secretary for Health Resourcing</w:t>
      </w:r>
    </w:p>
    <w:p w14:paraId="717585A3" w14:textId="08AF41CB" w:rsidR="003C7631" w:rsidRPr="003C7631" w:rsidRDefault="00C44E5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l</w:t>
      </w:r>
      <w:r w:rsidR="003C7631" w:rsidRPr="003C7631">
        <w:rPr>
          <w:rFonts w:ascii="Calibri" w:eastAsia="Calibri" w:hAnsi="Calibri"/>
          <w:sz w:val="22"/>
          <w:szCs w:val="22"/>
        </w:rPr>
        <w:t xml:space="preserve">iaises with the Department in </w:t>
      </w:r>
      <w:r>
        <w:rPr>
          <w:rFonts w:ascii="Calibri" w:eastAsia="Calibri" w:hAnsi="Calibri"/>
          <w:sz w:val="22"/>
          <w:szCs w:val="22"/>
        </w:rPr>
        <w:t>relation to</w:t>
      </w:r>
      <w:r w:rsidR="003C7631" w:rsidRPr="003C7631">
        <w:rPr>
          <w:rFonts w:ascii="Calibri" w:eastAsia="Calibri" w:hAnsi="Calibri"/>
          <w:sz w:val="22"/>
          <w:szCs w:val="22"/>
        </w:rPr>
        <w:t xml:space="preserve"> statutory appointments to be made by the Minister</w:t>
      </w:r>
    </w:p>
    <w:p w14:paraId="4494B919" w14:textId="3DFCA2BD" w:rsidR="003C7631" w:rsidRPr="003C7631" w:rsidRDefault="00C44E5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a</w:t>
      </w:r>
      <w:r w:rsidR="003C7631" w:rsidRPr="003C7631">
        <w:rPr>
          <w:rFonts w:ascii="Calibri" w:eastAsia="Calibri" w:hAnsi="Calibri"/>
          <w:sz w:val="22"/>
          <w:szCs w:val="22"/>
        </w:rPr>
        <w:t xml:space="preserve">dvises the Department about changes that, in PSR’s opinion, would assist in improving the ability of the PSR scheme to achieve its statutory obligations </w:t>
      </w:r>
    </w:p>
    <w:p w14:paraId="188DC9BA" w14:textId="1FFC0EAB" w:rsidR="003C7631" w:rsidRPr="003C7631" w:rsidRDefault="00C44E5F" w:rsidP="003C7631">
      <w:pPr>
        <w:numPr>
          <w:ilvl w:val="0"/>
          <w:numId w:val="30"/>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m</w:t>
      </w:r>
      <w:r w:rsidR="003C7631" w:rsidRPr="003C7631">
        <w:rPr>
          <w:rFonts w:ascii="Calibri" w:eastAsia="Calibri" w:hAnsi="Calibri"/>
          <w:sz w:val="22"/>
          <w:szCs w:val="22"/>
        </w:rPr>
        <w:t>eets with the Department’s Provider Benefits Integrity Division every two months to discuss emerging issues in Medicare and PBS compliance</w:t>
      </w:r>
    </w:p>
    <w:p w14:paraId="1280AFA7" w14:textId="4717A0B2" w:rsidR="003C7631" w:rsidRPr="003C7631" w:rsidRDefault="003C7631" w:rsidP="00F508AB">
      <w:pPr>
        <w:overflowPunct/>
        <w:autoSpaceDE/>
        <w:autoSpaceDN/>
        <w:adjustRightInd/>
        <w:spacing w:before="240" w:after="160" w:line="259" w:lineRule="auto"/>
        <w:textAlignment w:val="auto"/>
        <w:rPr>
          <w:rFonts w:ascii="Calibri" w:eastAsia="Calibri" w:hAnsi="Calibri"/>
          <w:sz w:val="22"/>
          <w:szCs w:val="22"/>
        </w:rPr>
      </w:pPr>
      <w:r w:rsidRPr="003C7631">
        <w:rPr>
          <w:rFonts w:ascii="Calibri" w:eastAsia="Calibri" w:hAnsi="Calibri"/>
          <w:sz w:val="22"/>
          <w:szCs w:val="22"/>
        </w:rPr>
        <w:t>Consistent with its stakeholder engagement strategy, PSR also engages and consults with:</w:t>
      </w:r>
    </w:p>
    <w:p w14:paraId="1A4443B5" w14:textId="36B702A8" w:rsidR="003C7631" w:rsidRPr="00E10A0F" w:rsidRDefault="00C44E5F" w:rsidP="00C32543">
      <w:pPr>
        <w:numPr>
          <w:ilvl w:val="0"/>
          <w:numId w:val="31"/>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lastRenderedPageBreak/>
        <w:t>t</w:t>
      </w:r>
      <w:r w:rsidR="003C7631" w:rsidRPr="00E10A0F">
        <w:rPr>
          <w:rFonts w:ascii="Calibri" w:eastAsia="Calibri" w:hAnsi="Calibri"/>
          <w:sz w:val="22"/>
          <w:szCs w:val="22"/>
        </w:rPr>
        <w:t xml:space="preserve">he </w:t>
      </w:r>
      <w:r w:rsidR="004D1754" w:rsidRPr="00E10A0F">
        <w:rPr>
          <w:rFonts w:ascii="Calibri" w:eastAsia="Calibri" w:hAnsi="Calibri"/>
          <w:sz w:val="22"/>
          <w:szCs w:val="22"/>
        </w:rPr>
        <w:t>AMA</w:t>
      </w:r>
      <w:r w:rsidR="003C7631" w:rsidRPr="00E10A0F">
        <w:rPr>
          <w:rFonts w:ascii="Calibri" w:eastAsia="Calibri" w:hAnsi="Calibri"/>
          <w:sz w:val="22"/>
          <w:szCs w:val="22"/>
        </w:rPr>
        <w:t>,</w:t>
      </w:r>
      <w:r w:rsidRPr="00E10A0F">
        <w:rPr>
          <w:rFonts w:ascii="Calibri" w:eastAsia="Calibri" w:hAnsi="Calibri"/>
          <w:sz w:val="22"/>
          <w:szCs w:val="22"/>
        </w:rPr>
        <w:t xml:space="preserve"> through m</w:t>
      </w:r>
      <w:r w:rsidR="003C7631" w:rsidRPr="00E10A0F">
        <w:rPr>
          <w:rFonts w:ascii="Calibri" w:eastAsia="Calibri" w:hAnsi="Calibri"/>
          <w:sz w:val="22"/>
          <w:szCs w:val="22"/>
        </w:rPr>
        <w:t xml:space="preserve">eetings of the Professional Services Review Advisory Committee (a 6-monthly forum </w:t>
      </w:r>
      <w:r w:rsidRPr="00E10A0F">
        <w:rPr>
          <w:rFonts w:ascii="Calibri" w:eastAsia="Calibri" w:hAnsi="Calibri"/>
          <w:sz w:val="22"/>
          <w:szCs w:val="22"/>
        </w:rPr>
        <w:t xml:space="preserve">involving </w:t>
      </w:r>
      <w:r w:rsidR="003C7631" w:rsidRPr="00E10A0F">
        <w:rPr>
          <w:rFonts w:ascii="Calibri" w:eastAsia="Calibri" w:hAnsi="Calibri"/>
          <w:sz w:val="22"/>
          <w:szCs w:val="22"/>
        </w:rPr>
        <w:t>PSR, the Department of Health and the AMA)</w:t>
      </w:r>
      <w:r w:rsidR="009A1A14" w:rsidRPr="00E10A0F">
        <w:rPr>
          <w:rFonts w:ascii="Calibri" w:eastAsia="Calibri" w:hAnsi="Calibri"/>
          <w:sz w:val="22"/>
          <w:szCs w:val="22"/>
        </w:rPr>
        <w:t xml:space="preserve"> as well as </w:t>
      </w:r>
      <w:r w:rsidRPr="00E10A0F">
        <w:rPr>
          <w:rFonts w:ascii="Calibri" w:eastAsia="Calibri" w:hAnsi="Calibri"/>
          <w:sz w:val="22"/>
          <w:szCs w:val="22"/>
        </w:rPr>
        <w:t xml:space="preserve">in regards to potential </w:t>
      </w:r>
      <w:r w:rsidR="003C7631" w:rsidRPr="00E10A0F">
        <w:rPr>
          <w:rFonts w:ascii="Calibri" w:eastAsia="Calibri" w:hAnsi="Calibri"/>
          <w:sz w:val="22"/>
          <w:szCs w:val="22"/>
        </w:rPr>
        <w:t>appointments to the PSR Panel and Determining Authority</w:t>
      </w:r>
    </w:p>
    <w:p w14:paraId="47E645BA" w14:textId="1E2B8234" w:rsidR="003C7631" w:rsidRPr="003C7631" w:rsidRDefault="009A1A14" w:rsidP="003C7631">
      <w:pPr>
        <w:numPr>
          <w:ilvl w:val="0"/>
          <w:numId w:val="31"/>
        </w:numPr>
        <w:overflowPunct/>
        <w:autoSpaceDE/>
        <w:autoSpaceDN/>
        <w:adjustRightInd/>
        <w:spacing w:after="160" w:line="259" w:lineRule="auto"/>
        <w:contextualSpacing/>
        <w:textAlignment w:val="auto"/>
        <w:rPr>
          <w:rFonts w:ascii="Calibri" w:eastAsia="Calibri" w:hAnsi="Calibri"/>
          <w:sz w:val="22"/>
          <w:szCs w:val="22"/>
        </w:rPr>
      </w:pPr>
      <w:r>
        <w:rPr>
          <w:rFonts w:ascii="Calibri" w:eastAsia="Calibri" w:hAnsi="Calibri"/>
          <w:sz w:val="22"/>
          <w:szCs w:val="22"/>
        </w:rPr>
        <w:t>t</w:t>
      </w:r>
      <w:r w:rsidR="003C7631" w:rsidRPr="003C7631">
        <w:rPr>
          <w:rFonts w:ascii="Calibri" w:eastAsia="Calibri" w:hAnsi="Calibri"/>
          <w:sz w:val="22"/>
          <w:szCs w:val="22"/>
        </w:rPr>
        <w:t>he medical defence organisations, including an annual meeting</w:t>
      </w:r>
    </w:p>
    <w:p w14:paraId="680DDBA4" w14:textId="062ED06C" w:rsidR="003C7631" w:rsidRPr="003C7631" w:rsidRDefault="009A1A14" w:rsidP="003C7631">
      <w:pPr>
        <w:numPr>
          <w:ilvl w:val="0"/>
          <w:numId w:val="31"/>
        </w:numPr>
        <w:overflowPunct/>
        <w:autoSpaceDE/>
        <w:autoSpaceDN/>
        <w:adjustRightInd/>
        <w:spacing w:after="160" w:line="259" w:lineRule="auto"/>
        <w:contextualSpacing/>
        <w:textAlignment w:val="auto"/>
        <w:rPr>
          <w:rFonts w:ascii="Calibri" w:eastAsia="Calibri" w:hAnsi="Calibri"/>
          <w:sz w:val="22"/>
          <w:szCs w:val="22"/>
        </w:rPr>
      </w:pPr>
      <w:proofErr w:type="gramStart"/>
      <w:r>
        <w:rPr>
          <w:rFonts w:ascii="Calibri" w:eastAsia="Calibri" w:hAnsi="Calibri"/>
          <w:sz w:val="22"/>
          <w:szCs w:val="22"/>
        </w:rPr>
        <w:t>t</w:t>
      </w:r>
      <w:r w:rsidR="003C7631" w:rsidRPr="003C7631">
        <w:rPr>
          <w:rFonts w:ascii="Calibri" w:eastAsia="Calibri" w:hAnsi="Calibri"/>
          <w:sz w:val="22"/>
          <w:szCs w:val="22"/>
        </w:rPr>
        <w:t>he</w:t>
      </w:r>
      <w:proofErr w:type="gramEnd"/>
      <w:r w:rsidR="003C7631" w:rsidRPr="003C7631">
        <w:rPr>
          <w:rFonts w:ascii="Calibri" w:eastAsia="Calibri" w:hAnsi="Calibri"/>
          <w:sz w:val="22"/>
          <w:szCs w:val="22"/>
        </w:rPr>
        <w:t xml:space="preserve"> medical colleges and peak representative bodies for other practitioners</w:t>
      </w:r>
      <w:r>
        <w:rPr>
          <w:rFonts w:ascii="Calibri" w:eastAsia="Calibri" w:hAnsi="Calibri"/>
          <w:sz w:val="22"/>
          <w:szCs w:val="22"/>
        </w:rPr>
        <w:t>.</w:t>
      </w:r>
    </w:p>
    <w:p w14:paraId="76B01212" w14:textId="77777777" w:rsidR="003C7631" w:rsidRPr="003C7631" w:rsidRDefault="003C7631" w:rsidP="00956539">
      <w:pPr>
        <w:pStyle w:val="PSRHeading4"/>
        <w:spacing w:before="360" w:after="480"/>
        <w:ind w:left="357" w:hanging="357"/>
        <w:rPr>
          <w:rFonts w:eastAsia="Calibri"/>
        </w:rPr>
      </w:pPr>
      <w:r w:rsidRPr="003C7631">
        <w:rPr>
          <w:rFonts w:eastAsia="Calibri"/>
        </w:rPr>
        <w:t>ORGANISATIONAL GOVERNANCE AND FINANCIAL MANAGEMENT</w:t>
      </w:r>
    </w:p>
    <w:p w14:paraId="5BB2212B" w14:textId="7BE0D3F1"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PSR upholds and promotes the APS values.</w:t>
      </w:r>
    </w:p>
    <w:p w14:paraId="31A129A2" w14:textId="77777777" w:rsidR="003C7631" w:rsidRPr="00DA1E22" w:rsidRDefault="003C7631" w:rsidP="00274F09">
      <w:pPr>
        <w:overflowPunct/>
        <w:autoSpaceDE/>
        <w:autoSpaceDN/>
        <w:adjustRightInd/>
        <w:spacing w:line="259" w:lineRule="auto"/>
        <w:textAlignment w:val="auto"/>
        <w:rPr>
          <w:rFonts w:ascii="Calibri" w:eastAsia="Calibri" w:hAnsi="Calibri"/>
          <w:b/>
          <w:sz w:val="22"/>
          <w:szCs w:val="22"/>
        </w:rPr>
      </w:pPr>
      <w:r w:rsidRPr="00DA1E22">
        <w:rPr>
          <w:rFonts w:ascii="Calibri" w:eastAsia="Calibri" w:hAnsi="Calibri"/>
          <w:b/>
          <w:sz w:val="22"/>
          <w:szCs w:val="22"/>
        </w:rPr>
        <w:t>APS values and code of conduct</w:t>
      </w:r>
    </w:p>
    <w:p w14:paraId="0EC70817" w14:textId="77777777" w:rsidR="003C7631" w:rsidRPr="003C7631" w:rsidRDefault="003C7631" w:rsidP="003C7631">
      <w:pPr>
        <w:overflowPunct/>
        <w:spacing w:after="100" w:line="201" w:lineRule="atLeast"/>
        <w:textAlignment w:val="auto"/>
        <w:rPr>
          <w:rFonts w:ascii="Calibri" w:eastAsia="Calibri" w:hAnsi="Calibri"/>
          <w:sz w:val="22"/>
          <w:szCs w:val="22"/>
        </w:rPr>
      </w:pPr>
      <w:r w:rsidRPr="003C7631">
        <w:rPr>
          <w:rFonts w:ascii="Calibri" w:eastAsia="Calibri" w:hAnsi="Calibri"/>
          <w:sz w:val="22"/>
          <w:szCs w:val="22"/>
        </w:rPr>
        <w:t xml:space="preserve">PSR recognises its responsibilities as part of the APS. As a statutory agency, and non-corporate Commonwealth entity, PSR is committed to the APS Values and the Code of Conduct outlined in the </w:t>
      </w:r>
      <w:r w:rsidRPr="003C7631">
        <w:rPr>
          <w:rFonts w:ascii="Calibri" w:eastAsia="Calibri" w:hAnsi="Calibri"/>
          <w:i/>
          <w:sz w:val="22"/>
          <w:szCs w:val="22"/>
        </w:rPr>
        <w:t>Public Service Act 1999</w:t>
      </w:r>
      <w:r w:rsidRPr="003C7631">
        <w:rPr>
          <w:rFonts w:ascii="Calibri" w:eastAsia="Calibri" w:hAnsi="Calibri"/>
          <w:sz w:val="22"/>
          <w:szCs w:val="22"/>
        </w:rPr>
        <w:t xml:space="preserve">. </w:t>
      </w:r>
    </w:p>
    <w:p w14:paraId="048E24D7" w14:textId="77777777"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upholds and cultivates the APS values by promoting a culture where staff are treated fairly, equitably and with respect. PSR is committed to maintaining a work environment that encourages and supports all staff in raising concerns about unacceptable behaviour, is free from bullying and harassment, and provides protection to employees who report instances of suspected breaches of the Code of Conduct. PSR has made procedures for managing alleged breaches of the Code of Conduct available to staff. These procedures establish how allegations will be managed. </w:t>
      </w:r>
    </w:p>
    <w:p w14:paraId="02EFA68D" w14:textId="4CFE764E" w:rsidR="003C7631" w:rsidRPr="003C7631" w:rsidRDefault="003C7631" w:rsidP="003C7631">
      <w:pPr>
        <w:overflowPunct/>
        <w:spacing w:after="100" w:line="201" w:lineRule="atLeast"/>
        <w:textAlignment w:val="auto"/>
        <w:rPr>
          <w:rFonts w:ascii="Calibri" w:eastAsia="Calibri" w:hAnsi="Calibri"/>
          <w:sz w:val="22"/>
          <w:szCs w:val="22"/>
        </w:rPr>
      </w:pPr>
      <w:r w:rsidRPr="003C7631">
        <w:rPr>
          <w:rFonts w:ascii="Calibri" w:eastAsia="Calibri" w:hAnsi="Calibri"/>
          <w:sz w:val="22"/>
          <w:szCs w:val="22"/>
        </w:rPr>
        <w:t>PSR has also defined its own values and behaviours, which are underpinned by and consistent with the APS Values. PSR’s values and behaviours</w:t>
      </w:r>
      <w:r w:rsidR="009A1A14">
        <w:rPr>
          <w:rFonts w:ascii="Calibri" w:eastAsia="Calibri" w:hAnsi="Calibri"/>
          <w:sz w:val="22"/>
          <w:szCs w:val="22"/>
        </w:rPr>
        <w:t xml:space="preserve"> (‘</w:t>
      </w:r>
      <w:r w:rsidRPr="00C32543">
        <w:rPr>
          <w:rFonts w:ascii="Calibri" w:eastAsia="Calibri" w:hAnsi="Calibri"/>
          <w:i/>
          <w:sz w:val="22"/>
          <w:szCs w:val="22"/>
        </w:rPr>
        <w:t>fair, transparent and professional</w:t>
      </w:r>
      <w:r w:rsidR="009A1A14" w:rsidRPr="00C32543">
        <w:rPr>
          <w:rFonts w:ascii="Calibri" w:eastAsia="Calibri" w:hAnsi="Calibri"/>
          <w:i/>
          <w:sz w:val="22"/>
          <w:szCs w:val="22"/>
        </w:rPr>
        <w:t>’</w:t>
      </w:r>
      <w:r w:rsidR="009A1A14">
        <w:rPr>
          <w:rFonts w:ascii="Calibri" w:eastAsia="Calibri" w:hAnsi="Calibri"/>
          <w:sz w:val="22"/>
          <w:szCs w:val="22"/>
        </w:rPr>
        <w:t>)</w:t>
      </w:r>
      <w:r w:rsidRPr="003C7631">
        <w:rPr>
          <w:rFonts w:ascii="Calibri" w:eastAsia="Calibri" w:hAnsi="Calibri"/>
          <w:sz w:val="22"/>
          <w:szCs w:val="22"/>
        </w:rPr>
        <w:t xml:space="preserve">, address the unique aspects of PSR’s role and guide staff in appropriate behaviour. </w:t>
      </w:r>
    </w:p>
    <w:p w14:paraId="3ED51703" w14:textId="77777777" w:rsidR="003C7631" w:rsidRPr="00DA1E22" w:rsidRDefault="003C7631" w:rsidP="00274F09">
      <w:pPr>
        <w:overflowPunct/>
        <w:autoSpaceDE/>
        <w:autoSpaceDN/>
        <w:adjustRightInd/>
        <w:spacing w:line="259" w:lineRule="auto"/>
        <w:textAlignment w:val="auto"/>
        <w:rPr>
          <w:rFonts w:ascii="Calibri" w:eastAsia="Calibri" w:hAnsi="Calibri"/>
          <w:b/>
          <w:sz w:val="22"/>
          <w:szCs w:val="22"/>
        </w:rPr>
      </w:pPr>
      <w:r w:rsidRPr="00DA1E22">
        <w:rPr>
          <w:rFonts w:ascii="Calibri" w:eastAsia="Calibri" w:hAnsi="Calibri"/>
          <w:b/>
          <w:sz w:val="22"/>
          <w:szCs w:val="22"/>
        </w:rPr>
        <w:t>APS Bargaining Framework</w:t>
      </w:r>
    </w:p>
    <w:p w14:paraId="12A1FE9F" w14:textId="77777777" w:rsidR="007945AA" w:rsidRPr="003C7631" w:rsidRDefault="007945AA" w:rsidP="007945AA">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staff remuneration arrangements are currently defined by PSR’s 2016–19 Enterprise Agreement, and the </w:t>
      </w:r>
      <w:r w:rsidRPr="003C7631">
        <w:rPr>
          <w:rFonts w:ascii="Calibri" w:eastAsia="Calibri" w:hAnsi="Calibri"/>
          <w:i/>
          <w:sz w:val="22"/>
          <w:szCs w:val="22"/>
        </w:rPr>
        <w:t>Public Service (Subsection 24(1) – Professional Services Review Non-SES Employees) Determination 2020</w:t>
      </w:r>
      <w:r w:rsidRPr="003C7631">
        <w:rPr>
          <w:rFonts w:ascii="Calibri" w:eastAsia="Calibri" w:hAnsi="Calibri"/>
          <w:sz w:val="22"/>
          <w:szCs w:val="22"/>
        </w:rPr>
        <w:t xml:space="preserve">. </w:t>
      </w:r>
    </w:p>
    <w:p w14:paraId="6BB1E330" w14:textId="306ACA6D" w:rsidR="007945AA" w:rsidRPr="00517054" w:rsidRDefault="007945AA" w:rsidP="007945AA">
      <w:pPr>
        <w:overflowPunct/>
        <w:autoSpaceDE/>
        <w:autoSpaceDN/>
        <w:adjustRightInd/>
        <w:spacing w:after="160" w:line="259" w:lineRule="auto"/>
        <w:textAlignment w:val="auto"/>
        <w:rPr>
          <w:rFonts w:ascii="Calibri" w:eastAsia="Calibri" w:hAnsi="Calibri"/>
          <w:sz w:val="22"/>
          <w:szCs w:val="22"/>
        </w:rPr>
      </w:pPr>
      <w:r w:rsidRPr="00517054">
        <w:rPr>
          <w:rFonts w:ascii="Calibri" w:eastAsia="Calibri" w:hAnsi="Calibri"/>
          <w:sz w:val="22"/>
          <w:szCs w:val="22"/>
        </w:rPr>
        <w:t xml:space="preserve">PSR’s 2016-19 Enterprise Agreement came into effect in February 2017 and was developed in accordance with the Australian Public Service Bargaining Framework, and in line with APSC’s </w:t>
      </w:r>
      <w:r w:rsidRPr="00CA0685">
        <w:rPr>
          <w:rFonts w:ascii="Calibri" w:eastAsia="Calibri" w:hAnsi="Calibri"/>
          <w:i/>
          <w:sz w:val="22"/>
          <w:szCs w:val="22"/>
        </w:rPr>
        <w:t>Workplace Bargaining Policy 2015</w:t>
      </w:r>
      <w:r w:rsidRPr="00517054">
        <w:rPr>
          <w:rFonts w:ascii="Calibri" w:eastAsia="Calibri" w:hAnsi="Calibri"/>
          <w:sz w:val="22"/>
          <w:szCs w:val="22"/>
        </w:rPr>
        <w:t xml:space="preserve">, which was the prevailing bargaining policy at the time of negotiation. Consistent with the </w:t>
      </w:r>
      <w:r w:rsidRPr="00CA0685">
        <w:rPr>
          <w:rFonts w:ascii="Calibri" w:eastAsia="Calibri" w:hAnsi="Calibri"/>
          <w:i/>
          <w:sz w:val="22"/>
          <w:szCs w:val="22"/>
        </w:rPr>
        <w:t>Workplace Bargaining Policy 2015</w:t>
      </w:r>
      <w:r w:rsidRPr="00517054">
        <w:rPr>
          <w:rFonts w:ascii="Calibri" w:eastAsia="Calibri" w:hAnsi="Calibri"/>
          <w:sz w:val="22"/>
          <w:szCs w:val="22"/>
        </w:rPr>
        <w:t>, the terms and conditions of PSR’s Enterprise Agreement and remuneration were approved by the A</w:t>
      </w:r>
      <w:r>
        <w:rPr>
          <w:rFonts w:ascii="Calibri" w:eastAsia="Calibri" w:hAnsi="Calibri"/>
          <w:sz w:val="22"/>
          <w:szCs w:val="22"/>
        </w:rPr>
        <w:t>ustralia</w:t>
      </w:r>
      <w:r w:rsidR="00613F4F">
        <w:rPr>
          <w:rFonts w:ascii="Calibri" w:eastAsia="Calibri" w:hAnsi="Calibri"/>
          <w:sz w:val="22"/>
          <w:szCs w:val="22"/>
        </w:rPr>
        <w:t>n</w:t>
      </w:r>
      <w:r>
        <w:rPr>
          <w:rFonts w:ascii="Calibri" w:eastAsia="Calibri" w:hAnsi="Calibri"/>
          <w:sz w:val="22"/>
          <w:szCs w:val="22"/>
        </w:rPr>
        <w:t xml:space="preserve"> </w:t>
      </w:r>
      <w:r w:rsidRPr="00517054">
        <w:rPr>
          <w:rFonts w:ascii="Calibri" w:eastAsia="Calibri" w:hAnsi="Calibri"/>
          <w:sz w:val="22"/>
          <w:szCs w:val="22"/>
        </w:rPr>
        <w:t>P</w:t>
      </w:r>
      <w:r>
        <w:rPr>
          <w:rFonts w:ascii="Calibri" w:eastAsia="Calibri" w:hAnsi="Calibri"/>
          <w:sz w:val="22"/>
          <w:szCs w:val="22"/>
        </w:rPr>
        <w:t xml:space="preserve">ublic </w:t>
      </w:r>
      <w:r w:rsidRPr="00517054">
        <w:rPr>
          <w:rFonts w:ascii="Calibri" w:eastAsia="Calibri" w:hAnsi="Calibri"/>
          <w:sz w:val="22"/>
          <w:szCs w:val="22"/>
        </w:rPr>
        <w:t>S</w:t>
      </w:r>
      <w:r>
        <w:rPr>
          <w:rFonts w:ascii="Calibri" w:eastAsia="Calibri" w:hAnsi="Calibri"/>
          <w:sz w:val="22"/>
          <w:szCs w:val="22"/>
        </w:rPr>
        <w:t>ervice</w:t>
      </w:r>
      <w:r w:rsidRPr="00517054">
        <w:rPr>
          <w:rFonts w:ascii="Calibri" w:eastAsia="Calibri" w:hAnsi="Calibri"/>
          <w:sz w:val="22"/>
          <w:szCs w:val="22"/>
        </w:rPr>
        <w:t xml:space="preserve"> Commissioner prior to consultation with APS staff, and proposed wage increases were offset by productivity improvements. </w:t>
      </w:r>
    </w:p>
    <w:p w14:paraId="2265A8F1" w14:textId="15BEB51A" w:rsidR="007945AA" w:rsidRPr="003C7631" w:rsidRDefault="00613F4F" w:rsidP="007945AA">
      <w:pPr>
        <w:overflowPunct/>
        <w:autoSpaceDE/>
        <w:autoSpaceDN/>
        <w:adjustRightInd/>
        <w:spacing w:after="160" w:line="259" w:lineRule="auto"/>
        <w:textAlignment w:val="auto"/>
        <w:rPr>
          <w:rFonts w:ascii="Calibri" w:eastAsia="Calibri" w:hAnsi="Calibri"/>
          <w:sz w:val="22"/>
          <w:szCs w:val="22"/>
        </w:rPr>
      </w:pPr>
      <w:r>
        <w:rPr>
          <w:rFonts w:ascii="Calibri" w:eastAsia="Calibri" w:hAnsi="Calibri"/>
          <w:sz w:val="22"/>
          <w:szCs w:val="22"/>
        </w:rPr>
        <w:t>On 3 February 2020, p</w:t>
      </w:r>
      <w:r w:rsidR="007945AA" w:rsidRPr="00517054">
        <w:rPr>
          <w:rFonts w:ascii="Calibri" w:eastAsia="Calibri" w:hAnsi="Calibri"/>
          <w:sz w:val="22"/>
          <w:szCs w:val="22"/>
        </w:rPr>
        <w:t xml:space="preserve">rior to the expiry of PSR’s </w:t>
      </w:r>
      <w:r w:rsidR="007945AA">
        <w:rPr>
          <w:rFonts w:ascii="Calibri" w:eastAsia="Calibri" w:hAnsi="Calibri"/>
          <w:sz w:val="22"/>
          <w:szCs w:val="22"/>
        </w:rPr>
        <w:t xml:space="preserve">2016-19 </w:t>
      </w:r>
      <w:r w:rsidR="007945AA" w:rsidRPr="00517054">
        <w:rPr>
          <w:rFonts w:ascii="Calibri" w:eastAsia="Calibri" w:hAnsi="Calibri"/>
          <w:sz w:val="22"/>
          <w:szCs w:val="22"/>
        </w:rPr>
        <w:t xml:space="preserve">Enterprise Agreement, the </w:t>
      </w:r>
      <w:r w:rsidR="007945AA" w:rsidRPr="00CA0685">
        <w:rPr>
          <w:rFonts w:ascii="Calibri" w:eastAsia="Calibri" w:hAnsi="Calibri"/>
          <w:i/>
          <w:sz w:val="22"/>
          <w:szCs w:val="22"/>
        </w:rPr>
        <w:t>Public Service (Subsection 24(1) – Professional Services Review Non-SES Employees) Determination 2020</w:t>
      </w:r>
      <w:r w:rsidR="007945AA" w:rsidRPr="00517054">
        <w:rPr>
          <w:rFonts w:ascii="Calibri" w:eastAsia="Calibri" w:hAnsi="Calibri"/>
          <w:sz w:val="22"/>
          <w:szCs w:val="22"/>
        </w:rPr>
        <w:t xml:space="preserve"> was approved</w:t>
      </w:r>
      <w:r>
        <w:rPr>
          <w:rFonts w:ascii="Calibri" w:eastAsia="Calibri" w:hAnsi="Calibri"/>
          <w:sz w:val="22"/>
          <w:szCs w:val="22"/>
        </w:rPr>
        <w:t>,</w:t>
      </w:r>
      <w:r w:rsidR="007945AA" w:rsidRPr="00517054">
        <w:rPr>
          <w:rFonts w:ascii="Calibri" w:eastAsia="Calibri" w:hAnsi="Calibri"/>
          <w:sz w:val="22"/>
          <w:szCs w:val="22"/>
        </w:rPr>
        <w:t xml:space="preserve"> </w:t>
      </w:r>
      <w:r w:rsidR="007945AA">
        <w:rPr>
          <w:rFonts w:ascii="Calibri" w:eastAsia="Calibri" w:hAnsi="Calibri"/>
          <w:sz w:val="22"/>
          <w:szCs w:val="22"/>
        </w:rPr>
        <w:t>to extend the Enterprise A</w:t>
      </w:r>
      <w:r w:rsidR="007945AA" w:rsidRPr="00517054">
        <w:rPr>
          <w:rFonts w:ascii="Calibri" w:eastAsia="Calibri" w:hAnsi="Calibri"/>
          <w:sz w:val="22"/>
          <w:szCs w:val="22"/>
        </w:rPr>
        <w:t xml:space="preserve">greement for three 3 years in line with APSC’s current </w:t>
      </w:r>
      <w:r w:rsidR="007945AA" w:rsidRPr="00CA0685">
        <w:rPr>
          <w:rFonts w:ascii="Calibri" w:eastAsia="Calibri" w:hAnsi="Calibri"/>
          <w:i/>
          <w:sz w:val="22"/>
          <w:szCs w:val="22"/>
        </w:rPr>
        <w:t>Workplace Bargaining Policy 2018</w:t>
      </w:r>
      <w:r w:rsidR="007945AA" w:rsidRPr="00517054">
        <w:rPr>
          <w:rFonts w:ascii="Calibri" w:eastAsia="Calibri" w:hAnsi="Calibri"/>
          <w:sz w:val="22"/>
          <w:szCs w:val="22"/>
        </w:rPr>
        <w:t>.</w:t>
      </w:r>
    </w:p>
    <w:p w14:paraId="310EECCF" w14:textId="77777777" w:rsidR="007945AA" w:rsidRPr="003C7631" w:rsidRDefault="007945AA" w:rsidP="007945AA">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has also adhered to the Government’s recent decision to delay scheduled wage increases for six months. Correspondingly, PSR’s pay increase in February 2021 will be postponed until August 2021. PSR has also complied with the Government’s direction to suspend increases </w:t>
      </w:r>
      <w:r>
        <w:rPr>
          <w:rFonts w:ascii="Calibri" w:eastAsia="Calibri" w:hAnsi="Calibri"/>
          <w:sz w:val="22"/>
          <w:szCs w:val="22"/>
        </w:rPr>
        <w:t>in</w:t>
      </w:r>
      <w:r w:rsidRPr="003C7631">
        <w:rPr>
          <w:rFonts w:ascii="Calibri" w:eastAsia="Calibri" w:hAnsi="Calibri"/>
          <w:sz w:val="22"/>
          <w:szCs w:val="22"/>
        </w:rPr>
        <w:t xml:space="preserve"> remuneration, entitlements and allowances for all Senior Executive Service employees until further advice is received.</w:t>
      </w:r>
    </w:p>
    <w:p w14:paraId="240F471A" w14:textId="77777777" w:rsidR="004F4BC6" w:rsidRDefault="004F4BC6">
      <w:pPr>
        <w:overflowPunct/>
        <w:autoSpaceDE/>
        <w:autoSpaceDN/>
        <w:adjustRightInd/>
        <w:textAlignment w:val="auto"/>
        <w:rPr>
          <w:rFonts w:ascii="Calibri" w:eastAsia="Calibri" w:hAnsi="Calibri"/>
          <w:b/>
          <w:sz w:val="22"/>
          <w:szCs w:val="22"/>
        </w:rPr>
      </w:pPr>
      <w:r>
        <w:rPr>
          <w:rFonts w:ascii="Calibri" w:eastAsia="Calibri" w:hAnsi="Calibri"/>
          <w:b/>
          <w:sz w:val="22"/>
          <w:szCs w:val="22"/>
        </w:rPr>
        <w:br w:type="page"/>
      </w:r>
    </w:p>
    <w:p w14:paraId="60B61F5C" w14:textId="31083CBF" w:rsidR="003C7631" w:rsidRPr="00DA1E22" w:rsidRDefault="003C7631" w:rsidP="00274F09">
      <w:pPr>
        <w:overflowPunct/>
        <w:autoSpaceDE/>
        <w:autoSpaceDN/>
        <w:adjustRightInd/>
        <w:spacing w:line="259" w:lineRule="auto"/>
        <w:textAlignment w:val="auto"/>
        <w:rPr>
          <w:rFonts w:ascii="Calibri" w:eastAsia="Calibri" w:hAnsi="Calibri"/>
          <w:b/>
          <w:sz w:val="22"/>
          <w:szCs w:val="22"/>
        </w:rPr>
      </w:pPr>
      <w:r w:rsidRPr="00DA1E22">
        <w:rPr>
          <w:rFonts w:ascii="Calibri" w:eastAsia="Calibri" w:hAnsi="Calibri"/>
          <w:b/>
          <w:sz w:val="22"/>
          <w:szCs w:val="22"/>
        </w:rPr>
        <w:lastRenderedPageBreak/>
        <w:t>Overseas Travel</w:t>
      </w:r>
    </w:p>
    <w:p w14:paraId="45DE05F5" w14:textId="590D7B95"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As PSR is a non-corporate Commonwealth entity, PSR’s use and management of public resources is governed by the </w:t>
      </w:r>
      <w:r w:rsidRPr="003C7631">
        <w:rPr>
          <w:rFonts w:ascii="Calibri" w:eastAsia="Calibri" w:hAnsi="Calibri"/>
          <w:i/>
          <w:sz w:val="22"/>
          <w:szCs w:val="22"/>
        </w:rPr>
        <w:t>Public Governance, Performance and Accountability Act 2013</w:t>
      </w:r>
      <w:r w:rsidRPr="003C7631">
        <w:rPr>
          <w:rFonts w:ascii="Calibri" w:eastAsia="Calibri" w:hAnsi="Calibri"/>
          <w:sz w:val="22"/>
          <w:szCs w:val="22"/>
        </w:rPr>
        <w:t xml:space="preserve"> (PGPA Act), and </w:t>
      </w:r>
      <w:r w:rsidRPr="003C7631">
        <w:rPr>
          <w:rFonts w:ascii="Calibri" w:eastAsia="Calibri" w:hAnsi="Calibri"/>
          <w:i/>
          <w:sz w:val="22"/>
          <w:szCs w:val="22"/>
        </w:rPr>
        <w:t>Public Governance, Performance and Accountability Rule 2014</w:t>
      </w:r>
      <w:r w:rsidRPr="003C7631">
        <w:rPr>
          <w:rFonts w:ascii="Calibri" w:eastAsia="Calibri" w:hAnsi="Calibri"/>
          <w:sz w:val="22"/>
          <w:szCs w:val="22"/>
        </w:rPr>
        <w:t xml:space="preserve"> (PGPA rule), and Orders made by the Minister</w:t>
      </w:r>
      <w:r w:rsidR="00613F4F">
        <w:rPr>
          <w:rFonts w:ascii="Calibri" w:eastAsia="Calibri" w:hAnsi="Calibri"/>
          <w:sz w:val="22"/>
          <w:szCs w:val="22"/>
        </w:rPr>
        <w:t xml:space="preserve"> for Finance</w:t>
      </w:r>
      <w:r w:rsidRPr="003C7631">
        <w:rPr>
          <w:rFonts w:ascii="Calibri" w:eastAsia="Calibri" w:hAnsi="Calibri"/>
          <w:sz w:val="22"/>
          <w:szCs w:val="22"/>
        </w:rPr>
        <w:t xml:space="preserve">. </w:t>
      </w:r>
    </w:p>
    <w:p w14:paraId="7197534E" w14:textId="4AC1D548"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is aware that under the </w:t>
      </w:r>
      <w:r w:rsidRPr="003C7631">
        <w:rPr>
          <w:rFonts w:ascii="Calibri" w:eastAsia="Calibri" w:hAnsi="Calibri"/>
          <w:i/>
          <w:sz w:val="22"/>
          <w:szCs w:val="22"/>
        </w:rPr>
        <w:t xml:space="preserve">Biosecurity (Human Biosecurity Emergency) (Human Coronavirus with Pandemic Potential) (Overseas Travel Ban Emergency Requirements) Determination 2020 </w:t>
      </w:r>
      <w:r w:rsidRPr="003C7631">
        <w:rPr>
          <w:rFonts w:ascii="Calibri" w:eastAsia="Calibri" w:hAnsi="Calibri"/>
          <w:sz w:val="22"/>
          <w:szCs w:val="22"/>
        </w:rPr>
        <w:t>(the Determination), made on 25 March 2020, an Australian citizen or permanent resident must not leave the Australian territory. PSR</w:t>
      </w:r>
      <w:r w:rsidR="008E2C08">
        <w:rPr>
          <w:rFonts w:ascii="Calibri" w:eastAsia="Calibri" w:hAnsi="Calibri"/>
          <w:sz w:val="22"/>
          <w:szCs w:val="22"/>
        </w:rPr>
        <w:t xml:space="preserve"> has and</w:t>
      </w:r>
      <w:r w:rsidRPr="003C7631">
        <w:rPr>
          <w:rFonts w:ascii="Calibri" w:eastAsia="Calibri" w:hAnsi="Calibri"/>
          <w:sz w:val="22"/>
          <w:szCs w:val="22"/>
        </w:rPr>
        <w:t xml:space="preserve"> will </w:t>
      </w:r>
      <w:r w:rsidR="008E2C08">
        <w:rPr>
          <w:rFonts w:ascii="Calibri" w:eastAsia="Calibri" w:hAnsi="Calibri"/>
          <w:sz w:val="22"/>
          <w:szCs w:val="22"/>
        </w:rPr>
        <w:t xml:space="preserve">continue to </w:t>
      </w:r>
      <w:r w:rsidRPr="003C7631">
        <w:rPr>
          <w:rFonts w:ascii="Calibri" w:eastAsia="Calibri" w:hAnsi="Calibri"/>
          <w:sz w:val="22"/>
          <w:szCs w:val="22"/>
        </w:rPr>
        <w:t>comply with this direction accordingly.</w:t>
      </w:r>
    </w:p>
    <w:p w14:paraId="5563C63B" w14:textId="77777777"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PSR acknowledges there are exemptions under the Determination that apply to citizens and residents who meet certain criteria. It is unlikely that PSR will seek an exemption for overseas travel in the foreseeable future as the exemption under section 6 and section 7 of the </w:t>
      </w:r>
      <w:r w:rsidRPr="003C7631">
        <w:rPr>
          <w:rFonts w:ascii="Calibri" w:eastAsia="Calibri" w:hAnsi="Calibri"/>
          <w:i/>
          <w:sz w:val="22"/>
          <w:szCs w:val="22"/>
        </w:rPr>
        <w:t>Biosecurity (Human Biosecurity Emergency) (Human Coronavirus with Pandemic Potential) (Overseas Travel Ban Emergency Requirements) Determination 2020</w:t>
      </w:r>
      <w:r w:rsidRPr="003C7631">
        <w:rPr>
          <w:rFonts w:ascii="Calibri" w:eastAsia="Calibri" w:hAnsi="Calibri"/>
          <w:sz w:val="22"/>
          <w:szCs w:val="22"/>
        </w:rPr>
        <w:t xml:space="preserve"> applies to specific persons or in exceptional circumstances. These criteria do not currently apply to PSR. Should PSR staff require an exemption to travel overseas, PSR will comply with the Government’s direction and seek approval in accordance with relevant legislation and policies.</w:t>
      </w:r>
    </w:p>
    <w:p w14:paraId="6FB898AD" w14:textId="77777777"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In ordinary circumstances, international travel for official business is only undertaken where other communication tools, such as teleconferencing and videoconferencing, are ineffective, and there is a demonstrated business need for the travel. Approval is sought in accordance with the PGPA Act and Rule, the Commonwealth Procurement Rules, PSR’s Accountable Authority Instructions and Financial Delegations, and </w:t>
      </w:r>
      <w:r w:rsidRPr="003C7631">
        <w:rPr>
          <w:rFonts w:ascii="Calibri" w:eastAsia="Calibri" w:hAnsi="Calibri"/>
          <w:i/>
          <w:sz w:val="22"/>
          <w:szCs w:val="22"/>
        </w:rPr>
        <w:t>Resource Management Guide 405: Official International Travel – Use of the best fare of the day,</w:t>
      </w:r>
      <w:r w:rsidRPr="003C7631">
        <w:rPr>
          <w:rFonts w:ascii="Calibri" w:eastAsia="Calibri" w:hAnsi="Calibri"/>
          <w:sz w:val="22"/>
          <w:szCs w:val="22"/>
        </w:rPr>
        <w:t xml:space="preserve"> and other guidance from Government to ensure value for money is achieved and promotes the appropriate use and management of public resources. </w:t>
      </w:r>
    </w:p>
    <w:p w14:paraId="6E2B2C28" w14:textId="77777777" w:rsidR="003C7631" w:rsidRPr="003C7631" w:rsidRDefault="003C7631" w:rsidP="00956539">
      <w:pPr>
        <w:pStyle w:val="PSRHeading4"/>
        <w:spacing w:before="360" w:after="480"/>
        <w:ind w:left="357" w:hanging="357"/>
        <w:rPr>
          <w:rFonts w:eastAsia="Calibri"/>
        </w:rPr>
      </w:pPr>
      <w:r w:rsidRPr="003C7631">
        <w:rPr>
          <w:rFonts w:eastAsia="Calibri"/>
        </w:rPr>
        <w:t>TRANSPARENCY AND ACCOUNTABILITY</w:t>
      </w:r>
    </w:p>
    <w:p w14:paraId="0949FA96" w14:textId="4E869DA4"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PSR operates as part of the Australian Government and is accountable to the Parliament, and the public through the Minister</w:t>
      </w:r>
      <w:r w:rsidR="008E2C08">
        <w:rPr>
          <w:rFonts w:ascii="Calibri" w:eastAsia="Calibri" w:hAnsi="Calibri"/>
          <w:sz w:val="22"/>
          <w:szCs w:val="22"/>
        </w:rPr>
        <w:t xml:space="preserve"> for Health</w:t>
      </w:r>
      <w:r w:rsidRPr="003C7631">
        <w:rPr>
          <w:rFonts w:ascii="Calibri" w:eastAsia="Calibri" w:hAnsi="Calibri"/>
          <w:sz w:val="22"/>
          <w:szCs w:val="22"/>
        </w:rPr>
        <w:t>, the Parliamentary Committee process and the tabling of its annual report.</w:t>
      </w:r>
    </w:p>
    <w:p w14:paraId="761F104D" w14:textId="665644D6" w:rsidR="003C7631" w:rsidRP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PSR has an open and consultative relationship with its key stakeholders. The PSR Engagement Strategy is reviewed in January each year by the Agency Management Committee. The strategy is adjusted to reflect changing demands</w:t>
      </w:r>
      <w:r w:rsidR="008E2C08">
        <w:rPr>
          <w:rFonts w:ascii="Calibri" w:eastAsia="Calibri" w:hAnsi="Calibri"/>
          <w:sz w:val="22"/>
          <w:szCs w:val="22"/>
        </w:rPr>
        <w:t xml:space="preserve"> and circumstances</w:t>
      </w:r>
      <w:r w:rsidRPr="003C7631">
        <w:rPr>
          <w:rFonts w:ascii="Calibri" w:eastAsia="Calibri" w:hAnsi="Calibri"/>
          <w:sz w:val="22"/>
          <w:szCs w:val="22"/>
        </w:rPr>
        <w:t>. In the past 12 months, COVID-19 travel restrictions reduced the capacity for face</w:t>
      </w:r>
      <w:r w:rsidR="008E2C08">
        <w:rPr>
          <w:rFonts w:ascii="Calibri" w:eastAsia="Calibri" w:hAnsi="Calibri"/>
          <w:sz w:val="22"/>
          <w:szCs w:val="22"/>
        </w:rPr>
        <w:t>-</w:t>
      </w:r>
      <w:r w:rsidRPr="003C7631">
        <w:rPr>
          <w:rFonts w:ascii="Calibri" w:eastAsia="Calibri" w:hAnsi="Calibri"/>
          <w:sz w:val="22"/>
          <w:szCs w:val="22"/>
        </w:rPr>
        <w:t>to</w:t>
      </w:r>
      <w:r w:rsidR="008E2C08">
        <w:rPr>
          <w:rFonts w:ascii="Calibri" w:eastAsia="Calibri" w:hAnsi="Calibri"/>
          <w:sz w:val="22"/>
          <w:szCs w:val="22"/>
        </w:rPr>
        <w:t>-</w:t>
      </w:r>
      <w:r w:rsidRPr="003C7631">
        <w:rPr>
          <w:rFonts w:ascii="Calibri" w:eastAsia="Calibri" w:hAnsi="Calibri"/>
          <w:sz w:val="22"/>
          <w:szCs w:val="22"/>
        </w:rPr>
        <w:t xml:space="preserve">face meetings, and engagement </w:t>
      </w:r>
      <w:r w:rsidR="008E2C08">
        <w:rPr>
          <w:rFonts w:ascii="Calibri" w:eastAsia="Calibri" w:hAnsi="Calibri"/>
          <w:sz w:val="22"/>
          <w:szCs w:val="22"/>
        </w:rPr>
        <w:t>has been</w:t>
      </w:r>
      <w:r w:rsidRPr="003C7631">
        <w:rPr>
          <w:rFonts w:ascii="Calibri" w:eastAsia="Calibri" w:hAnsi="Calibri"/>
          <w:sz w:val="22"/>
          <w:szCs w:val="22"/>
        </w:rPr>
        <w:t xml:space="preserve"> managed through telephone calls, videoconferences and correspondence.</w:t>
      </w:r>
    </w:p>
    <w:p w14:paraId="3123CAC2" w14:textId="4809ACD7" w:rsidR="003C7631" w:rsidRDefault="003C7631" w:rsidP="003C7631">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Figure </w:t>
      </w:r>
      <w:r w:rsidR="00DA2014">
        <w:rPr>
          <w:rFonts w:ascii="Calibri" w:eastAsia="Calibri" w:hAnsi="Calibri"/>
          <w:sz w:val="22"/>
          <w:szCs w:val="22"/>
        </w:rPr>
        <w:t>2</w:t>
      </w:r>
      <w:r w:rsidR="00DA2014" w:rsidRPr="003C7631">
        <w:rPr>
          <w:rFonts w:ascii="Calibri" w:eastAsia="Calibri" w:hAnsi="Calibri"/>
          <w:sz w:val="22"/>
          <w:szCs w:val="22"/>
        </w:rPr>
        <w:t xml:space="preserve"> </w:t>
      </w:r>
      <w:r w:rsidRPr="003C7631">
        <w:rPr>
          <w:rFonts w:ascii="Calibri" w:eastAsia="Calibri" w:hAnsi="Calibri"/>
          <w:sz w:val="22"/>
          <w:szCs w:val="22"/>
        </w:rPr>
        <w:t xml:space="preserve">summarises the Engagement Strategy of the </w:t>
      </w:r>
      <w:r w:rsidR="004401CF">
        <w:rPr>
          <w:rFonts w:ascii="Calibri" w:eastAsia="Calibri" w:hAnsi="Calibri"/>
          <w:sz w:val="22"/>
          <w:szCs w:val="22"/>
        </w:rPr>
        <w:t>a</w:t>
      </w:r>
      <w:r w:rsidRPr="003C7631">
        <w:rPr>
          <w:rFonts w:ascii="Calibri" w:eastAsia="Calibri" w:hAnsi="Calibri"/>
          <w:sz w:val="22"/>
          <w:szCs w:val="22"/>
        </w:rPr>
        <w:t>gency (effective January 2020).</w:t>
      </w:r>
    </w:p>
    <w:p w14:paraId="0655254B" w14:textId="244B29FC" w:rsidR="0080018F" w:rsidRDefault="00956539" w:rsidP="003C7631">
      <w:pPr>
        <w:overflowPunct/>
        <w:autoSpaceDE/>
        <w:autoSpaceDN/>
        <w:adjustRightInd/>
        <w:spacing w:after="160" w:line="259" w:lineRule="auto"/>
        <w:textAlignment w:val="auto"/>
        <w:rPr>
          <w:rFonts w:ascii="Calibri" w:eastAsia="Calibri" w:hAnsi="Calibri"/>
          <w:b/>
          <w:sz w:val="22"/>
          <w:szCs w:val="22"/>
        </w:rPr>
      </w:pPr>
      <w:r>
        <w:rPr>
          <w:rFonts w:ascii="Calibri" w:eastAsia="Calibri" w:hAnsi="Calibri"/>
          <w:b/>
          <w:sz w:val="22"/>
          <w:szCs w:val="22"/>
        </w:rPr>
        <w:br/>
      </w:r>
    </w:p>
    <w:p w14:paraId="791410AD" w14:textId="77777777" w:rsidR="004F4BC6" w:rsidRDefault="004F4BC6">
      <w:pPr>
        <w:overflowPunct/>
        <w:autoSpaceDE/>
        <w:autoSpaceDN/>
        <w:adjustRightInd/>
        <w:textAlignment w:val="auto"/>
        <w:rPr>
          <w:rFonts w:ascii="Calibri" w:eastAsia="Calibri" w:hAnsi="Calibri"/>
          <w:b/>
          <w:sz w:val="22"/>
          <w:szCs w:val="22"/>
        </w:rPr>
      </w:pPr>
      <w:r>
        <w:rPr>
          <w:rFonts w:ascii="Calibri" w:eastAsia="Calibri" w:hAnsi="Calibri"/>
          <w:b/>
          <w:sz w:val="22"/>
          <w:szCs w:val="22"/>
        </w:rPr>
        <w:br w:type="page"/>
      </w:r>
    </w:p>
    <w:p w14:paraId="593C4873" w14:textId="79277081" w:rsidR="0080018F" w:rsidRPr="0080018F" w:rsidRDefault="0080018F" w:rsidP="003C7631">
      <w:pPr>
        <w:overflowPunct/>
        <w:autoSpaceDE/>
        <w:autoSpaceDN/>
        <w:adjustRightInd/>
        <w:spacing w:after="160" w:line="259" w:lineRule="auto"/>
        <w:textAlignment w:val="auto"/>
        <w:rPr>
          <w:rFonts w:ascii="Calibri" w:eastAsia="Calibri" w:hAnsi="Calibri"/>
          <w:b/>
          <w:sz w:val="22"/>
          <w:szCs w:val="22"/>
        </w:rPr>
      </w:pPr>
      <w:bookmarkStart w:id="0" w:name="_GoBack"/>
      <w:bookmarkEnd w:id="0"/>
      <w:r>
        <w:rPr>
          <w:rFonts w:ascii="Calibri" w:eastAsia="Calibri" w:hAnsi="Calibri"/>
          <w:b/>
          <w:sz w:val="22"/>
          <w:szCs w:val="22"/>
        </w:rPr>
        <w:lastRenderedPageBreak/>
        <w:t xml:space="preserve">Figure </w:t>
      </w:r>
      <w:r w:rsidR="00DA2014">
        <w:rPr>
          <w:rFonts w:ascii="Calibri" w:eastAsia="Calibri" w:hAnsi="Calibri"/>
          <w:b/>
          <w:sz w:val="22"/>
          <w:szCs w:val="22"/>
        </w:rPr>
        <w:t>2</w:t>
      </w:r>
    </w:p>
    <w:p w14:paraId="509B9A41" w14:textId="6EAAE069" w:rsidR="0080018F" w:rsidRPr="0080018F" w:rsidRDefault="00975B90" w:rsidP="003C7631">
      <w:pPr>
        <w:overflowPunct/>
        <w:autoSpaceDE/>
        <w:autoSpaceDN/>
        <w:adjustRightInd/>
        <w:spacing w:after="160" w:line="259" w:lineRule="auto"/>
        <w:textAlignment w:val="auto"/>
        <w:rPr>
          <w:rFonts w:ascii="Calibri" w:eastAsia="Calibri" w:hAnsi="Calibri"/>
          <w:b/>
          <w:sz w:val="22"/>
          <w:szCs w:val="22"/>
        </w:rPr>
      </w:pPr>
      <w:r w:rsidRPr="003C7631">
        <w:rPr>
          <w:rFonts w:ascii="Calibri" w:eastAsia="Calibri" w:hAnsi="Calibri"/>
          <w:caps/>
          <w:noProof/>
          <w:color w:val="FF0000"/>
          <w:sz w:val="28"/>
          <w:szCs w:val="28"/>
          <w:lang w:eastAsia="en-AU"/>
        </w:rPr>
        <w:drawing>
          <wp:anchor distT="0" distB="0" distL="114300" distR="114300" simplePos="0" relativeHeight="251661312" behindDoc="0" locked="0" layoutInCell="1" allowOverlap="1" wp14:anchorId="295B70C6" wp14:editId="36B803F2">
            <wp:simplePos x="0" y="0"/>
            <wp:positionH relativeFrom="margin">
              <wp:align>left</wp:align>
            </wp:positionH>
            <wp:positionV relativeFrom="paragraph">
              <wp:posOffset>350520</wp:posOffset>
            </wp:positionV>
            <wp:extent cx="6406515" cy="4724400"/>
            <wp:effectExtent l="0" t="0" r="0" b="0"/>
            <wp:wrapTopAndBottom/>
            <wp:docPr id="5" name="Picture 5" descr="\\psrfp01\folderredirection$\megank\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rfp01\folderredirection$\megank\Desktop\Picture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06515" cy="472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18F" w:rsidRPr="0080018F">
        <w:rPr>
          <w:rFonts w:ascii="Calibri" w:eastAsia="Calibri" w:hAnsi="Calibri"/>
          <w:b/>
          <w:sz w:val="22"/>
          <w:szCs w:val="22"/>
        </w:rPr>
        <w:t>Professional Services Review Engagement Strategy</w:t>
      </w:r>
    </w:p>
    <w:p w14:paraId="197F2150" w14:textId="18C66988" w:rsidR="00D60499" w:rsidRDefault="00D60499" w:rsidP="00D60499">
      <w:pPr>
        <w:pStyle w:val="PSRHeading3"/>
        <w:rPr>
          <w:rFonts w:eastAsia="Calibri"/>
        </w:rPr>
      </w:pPr>
    </w:p>
    <w:p w14:paraId="1B845A07" w14:textId="5D993E5B" w:rsidR="00D60499" w:rsidRDefault="00D60499" w:rsidP="00D60499">
      <w:pPr>
        <w:pStyle w:val="PSRHeading3"/>
        <w:rPr>
          <w:rFonts w:eastAsia="Calibri"/>
        </w:rPr>
      </w:pPr>
    </w:p>
    <w:p w14:paraId="6897769B" w14:textId="43AB2A22" w:rsidR="003C7631" w:rsidRPr="003C7631" w:rsidRDefault="003C7631" w:rsidP="00D60499">
      <w:pPr>
        <w:pStyle w:val="PSRHeading3"/>
        <w:rPr>
          <w:rFonts w:eastAsia="Calibri"/>
        </w:rPr>
      </w:pPr>
      <w:r w:rsidRPr="003C7631">
        <w:rPr>
          <w:rFonts w:eastAsia="Calibri"/>
        </w:rPr>
        <w:t>Summary</w:t>
      </w:r>
    </w:p>
    <w:p w14:paraId="22DD30CC" w14:textId="5314B2E3" w:rsidR="00D60499" w:rsidRPr="00D60499" w:rsidRDefault="003C7631" w:rsidP="00956539">
      <w:pPr>
        <w:overflowPunct/>
        <w:autoSpaceDE/>
        <w:autoSpaceDN/>
        <w:adjustRightInd/>
        <w:spacing w:after="160" w:line="259" w:lineRule="auto"/>
        <w:textAlignment w:val="auto"/>
        <w:rPr>
          <w:rFonts w:ascii="Calibri" w:eastAsia="Calibri" w:hAnsi="Calibri"/>
          <w:sz w:val="22"/>
          <w:szCs w:val="22"/>
        </w:rPr>
      </w:pPr>
      <w:r w:rsidRPr="003C7631">
        <w:rPr>
          <w:rFonts w:ascii="Calibri" w:eastAsia="Calibri" w:hAnsi="Calibri"/>
          <w:sz w:val="22"/>
          <w:szCs w:val="22"/>
        </w:rPr>
        <w:t xml:space="preserve">The PSR Statement of Intent aims to promote greater transparency, accountability and information about the </w:t>
      </w:r>
      <w:r w:rsidR="008E2C08">
        <w:rPr>
          <w:rFonts w:ascii="Calibri" w:eastAsia="Calibri" w:hAnsi="Calibri"/>
          <w:sz w:val="22"/>
          <w:szCs w:val="22"/>
        </w:rPr>
        <w:t>a</w:t>
      </w:r>
      <w:r w:rsidRPr="003C7631">
        <w:rPr>
          <w:rFonts w:ascii="Calibri" w:eastAsia="Calibri" w:hAnsi="Calibri"/>
          <w:sz w:val="22"/>
          <w:szCs w:val="22"/>
        </w:rPr>
        <w:t>gency and its operations and answers the Minister</w:t>
      </w:r>
      <w:r w:rsidR="008E2C08">
        <w:rPr>
          <w:rFonts w:ascii="Calibri" w:eastAsia="Calibri" w:hAnsi="Calibri"/>
          <w:sz w:val="22"/>
          <w:szCs w:val="22"/>
        </w:rPr>
        <w:t>’</w:t>
      </w:r>
      <w:r w:rsidRPr="003C7631">
        <w:rPr>
          <w:rFonts w:ascii="Calibri" w:eastAsia="Calibri" w:hAnsi="Calibri"/>
          <w:sz w:val="22"/>
          <w:szCs w:val="22"/>
        </w:rPr>
        <w:t>s Statement of Expectations.</w:t>
      </w:r>
    </w:p>
    <w:sectPr w:rsidR="00D60499" w:rsidRPr="00D60499" w:rsidSect="00956539">
      <w:pgSz w:w="11906" w:h="16838"/>
      <w:pgMar w:top="1440" w:right="1080" w:bottom="1440" w:left="1080" w:header="68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03BAF" w14:textId="77777777" w:rsidR="00C32543" w:rsidRDefault="00C32543">
      <w:r>
        <w:separator/>
      </w:r>
    </w:p>
  </w:endnote>
  <w:endnote w:type="continuationSeparator" w:id="0">
    <w:p w14:paraId="28126EB3" w14:textId="77777777" w:rsidR="00C32543" w:rsidRDefault="00C3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296" w14:textId="77777777" w:rsidR="00C32543" w:rsidRDefault="00C32543" w:rsidP="00F07A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23D21D" w14:textId="77777777" w:rsidR="00C32543" w:rsidRDefault="00C32543" w:rsidP="00FF7F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2DB9" w14:textId="77777777" w:rsidR="00C32543" w:rsidRDefault="00C32543" w:rsidP="003C7631">
    <w:pPr>
      <w:pStyle w:val="Footer"/>
      <w:jc w:val="center"/>
    </w:pPr>
    <w:r w:rsidRPr="0061288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3C470" w14:textId="77777777" w:rsidR="00C32543" w:rsidRDefault="00C32543">
      <w:r>
        <w:separator/>
      </w:r>
    </w:p>
  </w:footnote>
  <w:footnote w:type="continuationSeparator" w:id="0">
    <w:p w14:paraId="1ECAE495" w14:textId="77777777" w:rsidR="00C32543" w:rsidRDefault="00C3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E38C" w14:textId="22D66B76" w:rsidR="00C32543" w:rsidRPr="00D53157" w:rsidRDefault="00C32543" w:rsidP="003C7631">
    <w:pPr>
      <w:pStyle w:val="Header"/>
    </w:pP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E6BA" w14:textId="7A97075D" w:rsidR="00C32543" w:rsidRPr="00D53157" w:rsidRDefault="00C32543" w:rsidP="003C7631">
    <w:pPr>
      <w:pStyle w:val="Header"/>
      <w:jc w:val="center"/>
    </w:pPr>
    <w:r>
      <w:rPr>
        <w:noProof/>
        <w:lang w:eastAsia="en-AU"/>
      </w:rPr>
      <w:drawing>
        <wp:anchor distT="0" distB="0" distL="114300" distR="114300" simplePos="0" relativeHeight="251661312" behindDoc="0" locked="0" layoutInCell="1" allowOverlap="1" wp14:anchorId="25DF223F" wp14:editId="4C197F4A">
          <wp:simplePos x="0" y="0"/>
          <wp:positionH relativeFrom="margin">
            <wp:posOffset>-105050</wp:posOffset>
          </wp:positionH>
          <wp:positionV relativeFrom="paragraph">
            <wp:posOffset>193040</wp:posOffset>
          </wp:positionV>
          <wp:extent cx="3564890" cy="771525"/>
          <wp:effectExtent l="0" t="0" r="0" b="9525"/>
          <wp:wrapNone/>
          <wp:docPr id="15" name="Picture 15" descr="PSR - Inlin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SR - Inline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48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br/>
    </w:r>
    <w:r>
      <w:br/>
    </w:r>
    <w:r>
      <w:br/>
    </w:r>
  </w:p>
  <w:p w14:paraId="17D40D31" w14:textId="77777777" w:rsidR="00C32543" w:rsidRDefault="00C32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36C1" w14:textId="2BAA371C" w:rsidR="00C32543" w:rsidRPr="00D53157" w:rsidRDefault="00C32543" w:rsidP="003C7631">
    <w:pPr>
      <w:pStyle w:val="Header"/>
      <w:jc w:val="center"/>
    </w:pPr>
    <w:r>
      <w:br/>
    </w:r>
    <w:r>
      <w:br/>
    </w:r>
    <w:r>
      <w:br/>
    </w:r>
  </w:p>
  <w:p w14:paraId="315F72A4" w14:textId="77777777" w:rsidR="00C32543" w:rsidRDefault="00C3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39E33AA"/>
    <w:lvl w:ilvl="0">
      <w:numFmt w:val="decimal"/>
      <w:lvlText w:val="*"/>
      <w:lvlJc w:val="left"/>
    </w:lvl>
  </w:abstractNum>
  <w:abstractNum w:abstractNumId="1" w15:restartNumberingAfterBreak="0">
    <w:nsid w:val="01276FF7"/>
    <w:multiLevelType w:val="hybridMultilevel"/>
    <w:tmpl w:val="5C606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006FD"/>
    <w:multiLevelType w:val="hybridMultilevel"/>
    <w:tmpl w:val="AEF225B6"/>
    <w:lvl w:ilvl="0" w:tplc="FFFFFFFF">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C5001A3"/>
    <w:multiLevelType w:val="hybridMultilevel"/>
    <w:tmpl w:val="F9DE48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390D45"/>
    <w:multiLevelType w:val="hybridMultilevel"/>
    <w:tmpl w:val="AAC26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5203B"/>
    <w:multiLevelType w:val="hybridMultilevel"/>
    <w:tmpl w:val="78E2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385944"/>
    <w:multiLevelType w:val="hybridMultilevel"/>
    <w:tmpl w:val="5D8AE85C"/>
    <w:lvl w:ilvl="0" w:tplc="CA162E5E">
      <w:start w:val="1"/>
      <w:numFmt w:val="decimal"/>
      <w:pStyle w:val="PSRNumberedList1"/>
      <w:lvlText w:val="%1."/>
      <w:lvlJc w:val="left"/>
      <w:pPr>
        <w:ind w:left="360" w:hanging="360"/>
      </w:pPr>
    </w:lvl>
    <w:lvl w:ilvl="1" w:tplc="C23283F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50128C0"/>
    <w:multiLevelType w:val="hybridMultilevel"/>
    <w:tmpl w:val="F7D8D490"/>
    <w:lvl w:ilvl="0" w:tplc="39828014">
      <w:start w:val="1"/>
      <w:numFmt w:val="bullet"/>
      <w:pStyle w:val="PSRBulletPoints1"/>
      <w:lvlText w:val=""/>
      <w:lvlJc w:val="left"/>
      <w:pPr>
        <w:ind w:left="360" w:hanging="360"/>
      </w:pPr>
      <w:rPr>
        <w:rFonts w:ascii="Symbol" w:hAnsi="Symbol" w:hint="default"/>
      </w:rPr>
    </w:lvl>
    <w:lvl w:ilvl="1" w:tplc="B9F6B386">
      <w:start w:val="1"/>
      <w:numFmt w:val="bullet"/>
      <w:pStyle w:val="PSRBulletPoints2"/>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1A1DFC"/>
    <w:multiLevelType w:val="hybridMultilevel"/>
    <w:tmpl w:val="8758B310"/>
    <w:lvl w:ilvl="0" w:tplc="B7B88BA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BF1D1A"/>
    <w:multiLevelType w:val="hybridMultilevel"/>
    <w:tmpl w:val="2CE6C72A"/>
    <w:lvl w:ilvl="0" w:tplc="CA162E5E">
      <w:start w:val="1"/>
      <w:numFmt w:val="decimal"/>
      <w:lvlText w:val="%1."/>
      <w:lvlJc w:val="left"/>
      <w:pPr>
        <w:ind w:left="360" w:hanging="360"/>
      </w:pPr>
    </w:lvl>
    <w:lvl w:ilvl="1" w:tplc="4C467EC6">
      <w:start w:val="1"/>
      <w:numFmt w:val="lowerLetter"/>
      <w:pStyle w:val="PSRNumberedList2"/>
      <w:lvlText w:val="%2)"/>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D397848"/>
    <w:multiLevelType w:val="hybridMultilevel"/>
    <w:tmpl w:val="6638C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840A19"/>
    <w:multiLevelType w:val="hybridMultilevel"/>
    <w:tmpl w:val="C2DA9E88"/>
    <w:lvl w:ilvl="0" w:tplc="FFFFFFFF">
      <w:start w:val="1"/>
      <w:numFmt w:val="bullet"/>
      <w:lvlText w:val=""/>
      <w:lvlJc w:val="left"/>
      <w:pPr>
        <w:tabs>
          <w:tab w:val="num" w:pos="1260"/>
        </w:tabs>
        <w:ind w:left="1260" w:hanging="360"/>
      </w:pPr>
      <w:rPr>
        <w:rFonts w:ascii="Symbol" w:hAnsi="Symbol" w:hint="default"/>
      </w:rPr>
    </w:lvl>
    <w:lvl w:ilvl="1" w:tplc="967CB540">
      <w:numFmt w:val="bullet"/>
      <w:lvlText w:val="-"/>
      <w:lvlJc w:val="left"/>
      <w:pPr>
        <w:tabs>
          <w:tab w:val="num" w:pos="1980"/>
        </w:tabs>
        <w:ind w:left="1980" w:hanging="360"/>
      </w:pPr>
      <w:rPr>
        <w:rFonts w:ascii="Arial" w:eastAsia="Times New Roman" w:hAnsi="Arial" w:cs="Arial"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481E6675"/>
    <w:multiLevelType w:val="hybridMultilevel"/>
    <w:tmpl w:val="B33EFD38"/>
    <w:lvl w:ilvl="0" w:tplc="CA162E5E">
      <w:start w:val="1"/>
      <w:numFmt w:val="decimal"/>
      <w:lvlText w:val="%1."/>
      <w:lvlJc w:val="left"/>
      <w:pPr>
        <w:ind w:left="360" w:hanging="360"/>
      </w:p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9243471"/>
    <w:multiLevelType w:val="hybridMultilevel"/>
    <w:tmpl w:val="24F29EFA"/>
    <w:lvl w:ilvl="0" w:tplc="8EBAF3EE">
      <w:numFmt w:val="bullet"/>
      <w:lvlText w:val="•"/>
      <w:lvlJc w:val="left"/>
      <w:pPr>
        <w:ind w:left="838" w:hanging="360"/>
      </w:pPr>
      <w:rPr>
        <w:rFonts w:ascii="Calibri" w:eastAsia="Calibri" w:hAnsi="Calibri" w:cs="Calibri" w:hint="default"/>
        <w:w w:val="100"/>
        <w:sz w:val="22"/>
        <w:szCs w:val="22"/>
        <w:lang w:val="en-AU" w:eastAsia="en-AU" w:bidi="en-AU"/>
      </w:rPr>
    </w:lvl>
    <w:lvl w:ilvl="1" w:tplc="75640A38">
      <w:numFmt w:val="bullet"/>
      <w:lvlText w:val="•"/>
      <w:lvlJc w:val="left"/>
      <w:pPr>
        <w:ind w:left="1675" w:hanging="360"/>
      </w:pPr>
      <w:rPr>
        <w:rFonts w:hint="default"/>
        <w:lang w:val="en-AU" w:eastAsia="en-AU" w:bidi="en-AU"/>
      </w:rPr>
    </w:lvl>
    <w:lvl w:ilvl="2" w:tplc="8312EE44">
      <w:numFmt w:val="bullet"/>
      <w:lvlText w:val="•"/>
      <w:lvlJc w:val="left"/>
      <w:pPr>
        <w:ind w:left="2510" w:hanging="360"/>
      </w:pPr>
      <w:rPr>
        <w:rFonts w:hint="default"/>
        <w:lang w:val="en-AU" w:eastAsia="en-AU" w:bidi="en-AU"/>
      </w:rPr>
    </w:lvl>
    <w:lvl w:ilvl="3" w:tplc="3CD2A920">
      <w:numFmt w:val="bullet"/>
      <w:lvlText w:val="•"/>
      <w:lvlJc w:val="left"/>
      <w:pPr>
        <w:ind w:left="3345" w:hanging="360"/>
      </w:pPr>
      <w:rPr>
        <w:rFonts w:hint="default"/>
        <w:lang w:val="en-AU" w:eastAsia="en-AU" w:bidi="en-AU"/>
      </w:rPr>
    </w:lvl>
    <w:lvl w:ilvl="4" w:tplc="AFEA2B9E">
      <w:numFmt w:val="bullet"/>
      <w:lvlText w:val="•"/>
      <w:lvlJc w:val="left"/>
      <w:pPr>
        <w:ind w:left="4180" w:hanging="360"/>
      </w:pPr>
      <w:rPr>
        <w:rFonts w:hint="default"/>
        <w:lang w:val="en-AU" w:eastAsia="en-AU" w:bidi="en-AU"/>
      </w:rPr>
    </w:lvl>
    <w:lvl w:ilvl="5" w:tplc="97FC4D1E">
      <w:numFmt w:val="bullet"/>
      <w:lvlText w:val="•"/>
      <w:lvlJc w:val="left"/>
      <w:pPr>
        <w:ind w:left="5015" w:hanging="360"/>
      </w:pPr>
      <w:rPr>
        <w:rFonts w:hint="default"/>
        <w:lang w:val="en-AU" w:eastAsia="en-AU" w:bidi="en-AU"/>
      </w:rPr>
    </w:lvl>
    <w:lvl w:ilvl="6" w:tplc="EAA6AA36">
      <w:numFmt w:val="bullet"/>
      <w:lvlText w:val="•"/>
      <w:lvlJc w:val="left"/>
      <w:pPr>
        <w:ind w:left="5850" w:hanging="360"/>
      </w:pPr>
      <w:rPr>
        <w:rFonts w:hint="default"/>
        <w:lang w:val="en-AU" w:eastAsia="en-AU" w:bidi="en-AU"/>
      </w:rPr>
    </w:lvl>
    <w:lvl w:ilvl="7" w:tplc="871A6DA8">
      <w:numFmt w:val="bullet"/>
      <w:lvlText w:val="•"/>
      <w:lvlJc w:val="left"/>
      <w:pPr>
        <w:ind w:left="6685" w:hanging="360"/>
      </w:pPr>
      <w:rPr>
        <w:rFonts w:hint="default"/>
        <w:lang w:val="en-AU" w:eastAsia="en-AU" w:bidi="en-AU"/>
      </w:rPr>
    </w:lvl>
    <w:lvl w:ilvl="8" w:tplc="3BB61546">
      <w:numFmt w:val="bullet"/>
      <w:lvlText w:val="•"/>
      <w:lvlJc w:val="left"/>
      <w:pPr>
        <w:ind w:left="7520" w:hanging="360"/>
      </w:pPr>
      <w:rPr>
        <w:rFonts w:hint="default"/>
        <w:lang w:val="en-AU" w:eastAsia="en-AU" w:bidi="en-AU"/>
      </w:rPr>
    </w:lvl>
  </w:abstractNum>
  <w:abstractNum w:abstractNumId="14" w15:restartNumberingAfterBreak="0">
    <w:nsid w:val="4D6F69F6"/>
    <w:multiLevelType w:val="hybridMultilevel"/>
    <w:tmpl w:val="8D64B906"/>
    <w:lvl w:ilvl="0" w:tplc="FFFFFFFF">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FA93BAF"/>
    <w:multiLevelType w:val="hybridMultilevel"/>
    <w:tmpl w:val="F1329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046DA0"/>
    <w:multiLevelType w:val="singleLevel"/>
    <w:tmpl w:val="A1A262F8"/>
    <w:lvl w:ilvl="0">
      <w:start w:val="1"/>
      <w:numFmt w:val="decimal"/>
      <w:lvlText w:val="%1."/>
      <w:legacy w:legacy="1" w:legacySpace="0" w:legacyIndent="360"/>
      <w:lvlJc w:val="left"/>
      <w:pPr>
        <w:ind w:left="360" w:hanging="360"/>
      </w:pPr>
    </w:lvl>
  </w:abstractNum>
  <w:abstractNum w:abstractNumId="17" w15:restartNumberingAfterBreak="0">
    <w:nsid w:val="55A30992"/>
    <w:multiLevelType w:val="hybridMultilevel"/>
    <w:tmpl w:val="A4E20FD6"/>
    <w:lvl w:ilvl="0" w:tplc="FFFFFFFF">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72B5A08"/>
    <w:multiLevelType w:val="hybridMultilevel"/>
    <w:tmpl w:val="7954292E"/>
    <w:lvl w:ilvl="0" w:tplc="0C09000F">
      <w:start w:val="1"/>
      <w:numFmt w:val="decimal"/>
      <w:lvlText w:val="%1."/>
      <w:lvlJc w:val="left"/>
      <w:pPr>
        <w:tabs>
          <w:tab w:val="num" w:pos="720"/>
        </w:tabs>
        <w:ind w:left="720" w:hanging="360"/>
      </w:pPr>
      <w:rPr>
        <w:rFont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05047"/>
    <w:multiLevelType w:val="multilevel"/>
    <w:tmpl w:val="7954292E"/>
    <w:lvl w:ilvl="0">
      <w:start w:val="1"/>
      <w:numFmt w:val="decimal"/>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B5794A"/>
    <w:multiLevelType w:val="hybridMultilevel"/>
    <w:tmpl w:val="AD2CE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9D4B55"/>
    <w:multiLevelType w:val="hybridMultilevel"/>
    <w:tmpl w:val="9766CD7A"/>
    <w:lvl w:ilvl="0" w:tplc="0C09000F">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2" w15:restartNumberingAfterBreak="0">
    <w:nsid w:val="67EB7DE0"/>
    <w:multiLevelType w:val="hybridMultilevel"/>
    <w:tmpl w:val="994EEB14"/>
    <w:lvl w:ilvl="0" w:tplc="0C09000F">
      <w:start w:val="1"/>
      <w:numFmt w:val="decimal"/>
      <w:lvlText w:val="%1."/>
      <w:lvlJc w:val="left"/>
      <w:pPr>
        <w:tabs>
          <w:tab w:val="num" w:pos="1260"/>
        </w:tabs>
        <w:ind w:left="1260" w:hanging="360"/>
      </w:pPr>
      <w:rPr>
        <w:rFonts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94011A5"/>
    <w:multiLevelType w:val="hybridMultilevel"/>
    <w:tmpl w:val="3426F0F6"/>
    <w:lvl w:ilvl="0" w:tplc="4A9E0372">
      <w:start w:val="1"/>
      <w:numFmt w:val="bullet"/>
      <w:lvlText w:val=""/>
      <w:lvlJc w:val="left"/>
      <w:pPr>
        <w:tabs>
          <w:tab w:val="num" w:pos="720"/>
        </w:tabs>
        <w:ind w:left="720" w:hanging="360"/>
      </w:pPr>
      <w:rPr>
        <w:rFonts w:ascii="Symbol" w:hAnsi="Symbo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83132"/>
    <w:multiLevelType w:val="hybridMultilevel"/>
    <w:tmpl w:val="1870BEBA"/>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6C3754A9"/>
    <w:multiLevelType w:val="hybridMultilevel"/>
    <w:tmpl w:val="9334CDD2"/>
    <w:lvl w:ilvl="0" w:tplc="D94026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CEE27DE"/>
    <w:multiLevelType w:val="hybridMultilevel"/>
    <w:tmpl w:val="7530418C"/>
    <w:lvl w:ilvl="0" w:tplc="15768EC6">
      <w:numFmt w:val="bullet"/>
      <w:lvlText w:val=""/>
      <w:lvlJc w:val="left"/>
      <w:pPr>
        <w:ind w:left="901" w:hanging="360"/>
      </w:pPr>
      <w:rPr>
        <w:rFonts w:ascii="Symbol" w:eastAsia="Symbol" w:hAnsi="Symbol" w:cs="Symbol" w:hint="default"/>
        <w:w w:val="100"/>
        <w:sz w:val="22"/>
        <w:szCs w:val="22"/>
        <w:lang w:val="en-AU" w:eastAsia="en-AU" w:bidi="en-AU"/>
      </w:rPr>
    </w:lvl>
    <w:lvl w:ilvl="1" w:tplc="A67C8BEA">
      <w:numFmt w:val="bullet"/>
      <w:lvlText w:val="•"/>
      <w:lvlJc w:val="left"/>
      <w:pPr>
        <w:ind w:left="1729" w:hanging="360"/>
      </w:pPr>
      <w:rPr>
        <w:rFonts w:hint="default"/>
        <w:lang w:val="en-AU" w:eastAsia="en-AU" w:bidi="en-AU"/>
      </w:rPr>
    </w:lvl>
    <w:lvl w:ilvl="2" w:tplc="3A2C2D3E">
      <w:numFmt w:val="bullet"/>
      <w:lvlText w:val="•"/>
      <w:lvlJc w:val="left"/>
      <w:pPr>
        <w:ind w:left="2558" w:hanging="360"/>
      </w:pPr>
      <w:rPr>
        <w:rFonts w:hint="default"/>
        <w:lang w:val="en-AU" w:eastAsia="en-AU" w:bidi="en-AU"/>
      </w:rPr>
    </w:lvl>
    <w:lvl w:ilvl="3" w:tplc="FF4479E8">
      <w:numFmt w:val="bullet"/>
      <w:lvlText w:val="•"/>
      <w:lvlJc w:val="left"/>
      <w:pPr>
        <w:ind w:left="3387" w:hanging="360"/>
      </w:pPr>
      <w:rPr>
        <w:rFonts w:hint="default"/>
        <w:lang w:val="en-AU" w:eastAsia="en-AU" w:bidi="en-AU"/>
      </w:rPr>
    </w:lvl>
    <w:lvl w:ilvl="4" w:tplc="3BC20174">
      <w:numFmt w:val="bullet"/>
      <w:lvlText w:val="•"/>
      <w:lvlJc w:val="left"/>
      <w:pPr>
        <w:ind w:left="4216" w:hanging="360"/>
      </w:pPr>
      <w:rPr>
        <w:rFonts w:hint="default"/>
        <w:lang w:val="en-AU" w:eastAsia="en-AU" w:bidi="en-AU"/>
      </w:rPr>
    </w:lvl>
    <w:lvl w:ilvl="5" w:tplc="FE801F0A">
      <w:numFmt w:val="bullet"/>
      <w:lvlText w:val="•"/>
      <w:lvlJc w:val="left"/>
      <w:pPr>
        <w:ind w:left="5045" w:hanging="360"/>
      </w:pPr>
      <w:rPr>
        <w:rFonts w:hint="default"/>
        <w:lang w:val="en-AU" w:eastAsia="en-AU" w:bidi="en-AU"/>
      </w:rPr>
    </w:lvl>
    <w:lvl w:ilvl="6" w:tplc="40C6560E">
      <w:numFmt w:val="bullet"/>
      <w:lvlText w:val="•"/>
      <w:lvlJc w:val="left"/>
      <w:pPr>
        <w:ind w:left="5874" w:hanging="360"/>
      </w:pPr>
      <w:rPr>
        <w:rFonts w:hint="default"/>
        <w:lang w:val="en-AU" w:eastAsia="en-AU" w:bidi="en-AU"/>
      </w:rPr>
    </w:lvl>
    <w:lvl w:ilvl="7" w:tplc="C9C4F810">
      <w:numFmt w:val="bullet"/>
      <w:lvlText w:val="•"/>
      <w:lvlJc w:val="left"/>
      <w:pPr>
        <w:ind w:left="6703" w:hanging="360"/>
      </w:pPr>
      <w:rPr>
        <w:rFonts w:hint="default"/>
        <w:lang w:val="en-AU" w:eastAsia="en-AU" w:bidi="en-AU"/>
      </w:rPr>
    </w:lvl>
    <w:lvl w:ilvl="8" w:tplc="316C451C">
      <w:numFmt w:val="bullet"/>
      <w:lvlText w:val="•"/>
      <w:lvlJc w:val="left"/>
      <w:pPr>
        <w:ind w:left="7532" w:hanging="360"/>
      </w:pPr>
      <w:rPr>
        <w:rFonts w:hint="default"/>
        <w:lang w:val="en-AU" w:eastAsia="en-AU" w:bidi="en-AU"/>
      </w:rPr>
    </w:lvl>
  </w:abstractNum>
  <w:abstractNum w:abstractNumId="27" w15:restartNumberingAfterBreak="0">
    <w:nsid w:val="70665B98"/>
    <w:multiLevelType w:val="hybridMultilevel"/>
    <w:tmpl w:val="2E46AA44"/>
    <w:lvl w:ilvl="0" w:tplc="0C09000F">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8" w15:restartNumberingAfterBreak="0">
    <w:nsid w:val="714A6B67"/>
    <w:multiLevelType w:val="multilevel"/>
    <w:tmpl w:val="499A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CC1EEF"/>
    <w:multiLevelType w:val="hybridMultilevel"/>
    <w:tmpl w:val="DAB85AAA"/>
    <w:lvl w:ilvl="0" w:tplc="0726B95E">
      <w:start w:val="1"/>
      <w:numFmt w:val="bullet"/>
      <w:pStyle w:val="DotPoint2"/>
      <w:lvlText w:val=""/>
      <w:lvlJc w:val="left"/>
      <w:pPr>
        <w:tabs>
          <w:tab w:val="num" w:pos="899"/>
        </w:tabs>
        <w:ind w:left="899"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21"/>
  </w:num>
  <w:num w:numId="5">
    <w:abstractNumId w:val="27"/>
  </w:num>
  <w:num w:numId="6">
    <w:abstractNumId w:val="2"/>
  </w:num>
  <w:num w:numId="7">
    <w:abstractNumId w:val="11"/>
  </w:num>
  <w:num w:numId="8">
    <w:abstractNumId w:val="14"/>
  </w:num>
  <w:num w:numId="9">
    <w:abstractNumId w:val="22"/>
  </w:num>
  <w:num w:numId="10">
    <w:abstractNumId w:val="29"/>
  </w:num>
  <w:num w:numId="11">
    <w:abstractNumId w:val="28"/>
  </w:num>
  <w:num w:numId="12">
    <w:abstractNumId w:val="17"/>
  </w:num>
  <w:num w:numId="13">
    <w:abstractNumId w:val="23"/>
  </w:num>
  <w:num w:numId="14">
    <w:abstractNumId w:val="18"/>
  </w:num>
  <w:num w:numId="15">
    <w:abstractNumId w:val="19"/>
  </w:num>
  <w:num w:numId="16">
    <w:abstractNumId w:val="3"/>
  </w:num>
  <w:num w:numId="17">
    <w:abstractNumId w:val="5"/>
  </w:num>
  <w:num w:numId="18">
    <w:abstractNumId w:val="7"/>
  </w:num>
  <w:num w:numId="19">
    <w:abstractNumId w:val="6"/>
  </w:num>
  <w:num w:numId="20">
    <w:abstractNumId w:val="6"/>
  </w:num>
  <w:num w:numId="21">
    <w:abstractNumId w:val="25"/>
  </w:num>
  <w:num w:numId="22">
    <w:abstractNumId w:val="12"/>
  </w:num>
  <w:num w:numId="23">
    <w:abstractNumId w:val="9"/>
  </w:num>
  <w:num w:numId="24">
    <w:abstractNumId w:val="1"/>
  </w:num>
  <w:num w:numId="25">
    <w:abstractNumId w:val="24"/>
  </w:num>
  <w:num w:numId="26">
    <w:abstractNumId w:val="10"/>
  </w:num>
  <w:num w:numId="27">
    <w:abstractNumId w:val="26"/>
  </w:num>
  <w:num w:numId="28">
    <w:abstractNumId w:val="13"/>
  </w:num>
  <w:num w:numId="29">
    <w:abstractNumId w:val="20"/>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2E"/>
    <w:rsid w:val="0000061F"/>
    <w:rsid w:val="00000F2E"/>
    <w:rsid w:val="0000208B"/>
    <w:rsid w:val="0000235A"/>
    <w:rsid w:val="000059DB"/>
    <w:rsid w:val="00005B83"/>
    <w:rsid w:val="00005D78"/>
    <w:rsid w:val="00006D9F"/>
    <w:rsid w:val="00011147"/>
    <w:rsid w:val="00015611"/>
    <w:rsid w:val="00015C33"/>
    <w:rsid w:val="00020501"/>
    <w:rsid w:val="0002471E"/>
    <w:rsid w:val="0002483C"/>
    <w:rsid w:val="00024D65"/>
    <w:rsid w:val="00026397"/>
    <w:rsid w:val="00032E81"/>
    <w:rsid w:val="00035CD3"/>
    <w:rsid w:val="00037CC7"/>
    <w:rsid w:val="00041945"/>
    <w:rsid w:val="00043C0A"/>
    <w:rsid w:val="000440EB"/>
    <w:rsid w:val="0004635F"/>
    <w:rsid w:val="00046F62"/>
    <w:rsid w:val="000511F4"/>
    <w:rsid w:val="00053211"/>
    <w:rsid w:val="00054282"/>
    <w:rsid w:val="000554B2"/>
    <w:rsid w:val="0005748D"/>
    <w:rsid w:val="00060C40"/>
    <w:rsid w:val="00071EC6"/>
    <w:rsid w:val="00072E69"/>
    <w:rsid w:val="00077E62"/>
    <w:rsid w:val="00082F9D"/>
    <w:rsid w:val="00083643"/>
    <w:rsid w:val="0008646C"/>
    <w:rsid w:val="00094E7F"/>
    <w:rsid w:val="0009751C"/>
    <w:rsid w:val="000A03B5"/>
    <w:rsid w:val="000A5ECA"/>
    <w:rsid w:val="000A7CF8"/>
    <w:rsid w:val="000B0857"/>
    <w:rsid w:val="000B269A"/>
    <w:rsid w:val="000C0EF3"/>
    <w:rsid w:val="000C4294"/>
    <w:rsid w:val="000C6A1D"/>
    <w:rsid w:val="000C791A"/>
    <w:rsid w:val="000D1493"/>
    <w:rsid w:val="000D1AF6"/>
    <w:rsid w:val="000D5C45"/>
    <w:rsid w:val="000D624D"/>
    <w:rsid w:val="000E395A"/>
    <w:rsid w:val="000E73C8"/>
    <w:rsid w:val="000F0A80"/>
    <w:rsid w:val="000F1CA1"/>
    <w:rsid w:val="000F47AE"/>
    <w:rsid w:val="000F5906"/>
    <w:rsid w:val="00100AE0"/>
    <w:rsid w:val="00100DBC"/>
    <w:rsid w:val="00100FE0"/>
    <w:rsid w:val="00104D11"/>
    <w:rsid w:val="001067E1"/>
    <w:rsid w:val="00115700"/>
    <w:rsid w:val="00115DE1"/>
    <w:rsid w:val="001167EF"/>
    <w:rsid w:val="0013203D"/>
    <w:rsid w:val="00133D88"/>
    <w:rsid w:val="00134A95"/>
    <w:rsid w:val="001362AC"/>
    <w:rsid w:val="00137DA8"/>
    <w:rsid w:val="001412D4"/>
    <w:rsid w:val="00143574"/>
    <w:rsid w:val="0014518F"/>
    <w:rsid w:val="001459E9"/>
    <w:rsid w:val="001503FD"/>
    <w:rsid w:val="00151B85"/>
    <w:rsid w:val="0015220F"/>
    <w:rsid w:val="00152C82"/>
    <w:rsid w:val="00161089"/>
    <w:rsid w:val="00171395"/>
    <w:rsid w:val="00171F38"/>
    <w:rsid w:val="00172CAA"/>
    <w:rsid w:val="00173687"/>
    <w:rsid w:val="0017460F"/>
    <w:rsid w:val="00176A77"/>
    <w:rsid w:val="0017747D"/>
    <w:rsid w:val="00177D3C"/>
    <w:rsid w:val="001867F1"/>
    <w:rsid w:val="00186DA2"/>
    <w:rsid w:val="001912F5"/>
    <w:rsid w:val="00191B11"/>
    <w:rsid w:val="00191B9B"/>
    <w:rsid w:val="00192177"/>
    <w:rsid w:val="0019379E"/>
    <w:rsid w:val="001A0C2F"/>
    <w:rsid w:val="001A0F87"/>
    <w:rsid w:val="001A1230"/>
    <w:rsid w:val="001A26E0"/>
    <w:rsid w:val="001A308D"/>
    <w:rsid w:val="001A405B"/>
    <w:rsid w:val="001A5301"/>
    <w:rsid w:val="001A5D53"/>
    <w:rsid w:val="001B12C1"/>
    <w:rsid w:val="001B3D8A"/>
    <w:rsid w:val="001B57D9"/>
    <w:rsid w:val="001C040B"/>
    <w:rsid w:val="001C25AB"/>
    <w:rsid w:val="001C5EAC"/>
    <w:rsid w:val="001C6D45"/>
    <w:rsid w:val="001C7EC2"/>
    <w:rsid w:val="001D00D1"/>
    <w:rsid w:val="001D03B9"/>
    <w:rsid w:val="001D2057"/>
    <w:rsid w:val="001D227B"/>
    <w:rsid w:val="001D27ED"/>
    <w:rsid w:val="001D316B"/>
    <w:rsid w:val="001D4522"/>
    <w:rsid w:val="001D45FD"/>
    <w:rsid w:val="001D6C48"/>
    <w:rsid w:val="001E1396"/>
    <w:rsid w:val="001E17C3"/>
    <w:rsid w:val="001E2F27"/>
    <w:rsid w:val="001E7F14"/>
    <w:rsid w:val="001F3CB9"/>
    <w:rsid w:val="00205123"/>
    <w:rsid w:val="002058F0"/>
    <w:rsid w:val="00212F6A"/>
    <w:rsid w:val="00215944"/>
    <w:rsid w:val="0021691E"/>
    <w:rsid w:val="002171FA"/>
    <w:rsid w:val="002206A2"/>
    <w:rsid w:val="002219FE"/>
    <w:rsid w:val="00222087"/>
    <w:rsid w:val="00224192"/>
    <w:rsid w:val="00225507"/>
    <w:rsid w:val="00227771"/>
    <w:rsid w:val="002318C4"/>
    <w:rsid w:val="002332A8"/>
    <w:rsid w:val="00233337"/>
    <w:rsid w:val="002365F7"/>
    <w:rsid w:val="00241456"/>
    <w:rsid w:val="00244742"/>
    <w:rsid w:val="002460A0"/>
    <w:rsid w:val="002472C9"/>
    <w:rsid w:val="00247BD8"/>
    <w:rsid w:val="002502FF"/>
    <w:rsid w:val="00250AAE"/>
    <w:rsid w:val="00255C4C"/>
    <w:rsid w:val="002577AF"/>
    <w:rsid w:val="002614F7"/>
    <w:rsid w:val="00261BDF"/>
    <w:rsid w:val="00265CB8"/>
    <w:rsid w:val="002703A8"/>
    <w:rsid w:val="002716F7"/>
    <w:rsid w:val="002746CC"/>
    <w:rsid w:val="00274F09"/>
    <w:rsid w:val="00274FCD"/>
    <w:rsid w:val="0028113E"/>
    <w:rsid w:val="002823E1"/>
    <w:rsid w:val="002824DB"/>
    <w:rsid w:val="00284679"/>
    <w:rsid w:val="00285F05"/>
    <w:rsid w:val="00285F26"/>
    <w:rsid w:val="00287878"/>
    <w:rsid w:val="00294420"/>
    <w:rsid w:val="0029467F"/>
    <w:rsid w:val="0029541B"/>
    <w:rsid w:val="0029661C"/>
    <w:rsid w:val="002A01B7"/>
    <w:rsid w:val="002A75C1"/>
    <w:rsid w:val="002A772B"/>
    <w:rsid w:val="002A7DDB"/>
    <w:rsid w:val="002B3590"/>
    <w:rsid w:val="002B5F01"/>
    <w:rsid w:val="002B7231"/>
    <w:rsid w:val="002C01B2"/>
    <w:rsid w:val="002C1712"/>
    <w:rsid w:val="002C2E31"/>
    <w:rsid w:val="002C2ECF"/>
    <w:rsid w:val="002C35FF"/>
    <w:rsid w:val="002C49E3"/>
    <w:rsid w:val="002C6D70"/>
    <w:rsid w:val="002C707D"/>
    <w:rsid w:val="002C756A"/>
    <w:rsid w:val="002D11ED"/>
    <w:rsid w:val="002D2C16"/>
    <w:rsid w:val="002D3090"/>
    <w:rsid w:val="002D335D"/>
    <w:rsid w:val="002D6B82"/>
    <w:rsid w:val="002E16B8"/>
    <w:rsid w:val="002E2359"/>
    <w:rsid w:val="002E2B4C"/>
    <w:rsid w:val="002F05E3"/>
    <w:rsid w:val="002F2587"/>
    <w:rsid w:val="002F3A39"/>
    <w:rsid w:val="002F5574"/>
    <w:rsid w:val="002F60E3"/>
    <w:rsid w:val="002F62AE"/>
    <w:rsid w:val="002F6306"/>
    <w:rsid w:val="00306A98"/>
    <w:rsid w:val="003123CB"/>
    <w:rsid w:val="00315C11"/>
    <w:rsid w:val="00317846"/>
    <w:rsid w:val="00320FDC"/>
    <w:rsid w:val="00321F89"/>
    <w:rsid w:val="00323DEB"/>
    <w:rsid w:val="003262D1"/>
    <w:rsid w:val="00330578"/>
    <w:rsid w:val="003341C3"/>
    <w:rsid w:val="00336B08"/>
    <w:rsid w:val="00337273"/>
    <w:rsid w:val="00353B3A"/>
    <w:rsid w:val="00354C37"/>
    <w:rsid w:val="00355ACA"/>
    <w:rsid w:val="00356880"/>
    <w:rsid w:val="00357D53"/>
    <w:rsid w:val="00361402"/>
    <w:rsid w:val="00364165"/>
    <w:rsid w:val="003657A8"/>
    <w:rsid w:val="003670C4"/>
    <w:rsid w:val="003701E0"/>
    <w:rsid w:val="00371B47"/>
    <w:rsid w:val="0037369B"/>
    <w:rsid w:val="00375D51"/>
    <w:rsid w:val="0038192E"/>
    <w:rsid w:val="0038193A"/>
    <w:rsid w:val="0038326C"/>
    <w:rsid w:val="003851A4"/>
    <w:rsid w:val="00387513"/>
    <w:rsid w:val="00391782"/>
    <w:rsid w:val="00393220"/>
    <w:rsid w:val="003946C3"/>
    <w:rsid w:val="00395A18"/>
    <w:rsid w:val="003978F7"/>
    <w:rsid w:val="003A1672"/>
    <w:rsid w:val="003A7E10"/>
    <w:rsid w:val="003B42E5"/>
    <w:rsid w:val="003B701B"/>
    <w:rsid w:val="003B70E0"/>
    <w:rsid w:val="003C0226"/>
    <w:rsid w:val="003C168C"/>
    <w:rsid w:val="003C7631"/>
    <w:rsid w:val="003D1136"/>
    <w:rsid w:val="003E11A8"/>
    <w:rsid w:val="003E1249"/>
    <w:rsid w:val="003E399E"/>
    <w:rsid w:val="003E3AD3"/>
    <w:rsid w:val="003F137F"/>
    <w:rsid w:val="003F16F2"/>
    <w:rsid w:val="003F1B72"/>
    <w:rsid w:val="003F2511"/>
    <w:rsid w:val="003F3797"/>
    <w:rsid w:val="003F61C3"/>
    <w:rsid w:val="003F674D"/>
    <w:rsid w:val="0040075F"/>
    <w:rsid w:val="004021A8"/>
    <w:rsid w:val="0040428E"/>
    <w:rsid w:val="0040487A"/>
    <w:rsid w:val="00407483"/>
    <w:rsid w:val="00407B91"/>
    <w:rsid w:val="00410AC2"/>
    <w:rsid w:val="00412BDE"/>
    <w:rsid w:val="00414916"/>
    <w:rsid w:val="00416E4C"/>
    <w:rsid w:val="00416ECF"/>
    <w:rsid w:val="00417B2B"/>
    <w:rsid w:val="00422A30"/>
    <w:rsid w:val="00426292"/>
    <w:rsid w:val="004277BD"/>
    <w:rsid w:val="004325A7"/>
    <w:rsid w:val="0043795F"/>
    <w:rsid w:val="0044009E"/>
    <w:rsid w:val="004401CF"/>
    <w:rsid w:val="004405B4"/>
    <w:rsid w:val="00440B96"/>
    <w:rsid w:val="004429D3"/>
    <w:rsid w:val="00444E6C"/>
    <w:rsid w:val="004455EF"/>
    <w:rsid w:val="004460A8"/>
    <w:rsid w:val="00450787"/>
    <w:rsid w:val="004555A2"/>
    <w:rsid w:val="0045604A"/>
    <w:rsid w:val="00461479"/>
    <w:rsid w:val="0046176C"/>
    <w:rsid w:val="00463C34"/>
    <w:rsid w:val="00464120"/>
    <w:rsid w:val="0046526E"/>
    <w:rsid w:val="004653E5"/>
    <w:rsid w:val="00465D94"/>
    <w:rsid w:val="00466241"/>
    <w:rsid w:val="00467319"/>
    <w:rsid w:val="00470E22"/>
    <w:rsid w:val="00472FEF"/>
    <w:rsid w:val="00475931"/>
    <w:rsid w:val="00475B4C"/>
    <w:rsid w:val="0047700C"/>
    <w:rsid w:val="00480B3B"/>
    <w:rsid w:val="00482600"/>
    <w:rsid w:val="00482968"/>
    <w:rsid w:val="00485152"/>
    <w:rsid w:val="00487AC3"/>
    <w:rsid w:val="0049012B"/>
    <w:rsid w:val="004924FD"/>
    <w:rsid w:val="00493D96"/>
    <w:rsid w:val="004948BF"/>
    <w:rsid w:val="00495B2A"/>
    <w:rsid w:val="00495DF4"/>
    <w:rsid w:val="004A215A"/>
    <w:rsid w:val="004A2C90"/>
    <w:rsid w:val="004A4139"/>
    <w:rsid w:val="004A5B2B"/>
    <w:rsid w:val="004A5D6D"/>
    <w:rsid w:val="004B0A2A"/>
    <w:rsid w:val="004B2A62"/>
    <w:rsid w:val="004B2BC9"/>
    <w:rsid w:val="004B47FF"/>
    <w:rsid w:val="004B52E0"/>
    <w:rsid w:val="004C03D0"/>
    <w:rsid w:val="004C3195"/>
    <w:rsid w:val="004C3539"/>
    <w:rsid w:val="004C5891"/>
    <w:rsid w:val="004D1754"/>
    <w:rsid w:val="004D29AF"/>
    <w:rsid w:val="004D34ED"/>
    <w:rsid w:val="004D39DC"/>
    <w:rsid w:val="004D3FF9"/>
    <w:rsid w:val="004D4044"/>
    <w:rsid w:val="004D7F0B"/>
    <w:rsid w:val="004F3DF4"/>
    <w:rsid w:val="004F4099"/>
    <w:rsid w:val="004F429E"/>
    <w:rsid w:val="004F4BC6"/>
    <w:rsid w:val="004F5693"/>
    <w:rsid w:val="004F615D"/>
    <w:rsid w:val="004F6750"/>
    <w:rsid w:val="004F76E0"/>
    <w:rsid w:val="005005F4"/>
    <w:rsid w:val="00500F39"/>
    <w:rsid w:val="00503035"/>
    <w:rsid w:val="005057F7"/>
    <w:rsid w:val="00506BBF"/>
    <w:rsid w:val="00511298"/>
    <w:rsid w:val="00512D1A"/>
    <w:rsid w:val="00522552"/>
    <w:rsid w:val="00527B31"/>
    <w:rsid w:val="00537D6E"/>
    <w:rsid w:val="00540D9F"/>
    <w:rsid w:val="00540F5D"/>
    <w:rsid w:val="00541193"/>
    <w:rsid w:val="00543EFE"/>
    <w:rsid w:val="00545F31"/>
    <w:rsid w:val="005474BE"/>
    <w:rsid w:val="00547BCE"/>
    <w:rsid w:val="00553634"/>
    <w:rsid w:val="00556425"/>
    <w:rsid w:val="00561033"/>
    <w:rsid w:val="00561221"/>
    <w:rsid w:val="00561C4C"/>
    <w:rsid w:val="00563C82"/>
    <w:rsid w:val="005645C9"/>
    <w:rsid w:val="005668D3"/>
    <w:rsid w:val="00566D70"/>
    <w:rsid w:val="00571228"/>
    <w:rsid w:val="0057132E"/>
    <w:rsid w:val="0057146D"/>
    <w:rsid w:val="00572601"/>
    <w:rsid w:val="0057481B"/>
    <w:rsid w:val="00575AF8"/>
    <w:rsid w:val="00575B47"/>
    <w:rsid w:val="00576989"/>
    <w:rsid w:val="00580394"/>
    <w:rsid w:val="00580BDA"/>
    <w:rsid w:val="005821F0"/>
    <w:rsid w:val="00586A4D"/>
    <w:rsid w:val="0059090C"/>
    <w:rsid w:val="00591AA7"/>
    <w:rsid w:val="0059489C"/>
    <w:rsid w:val="005955E6"/>
    <w:rsid w:val="005972F8"/>
    <w:rsid w:val="005A1E35"/>
    <w:rsid w:val="005A37D5"/>
    <w:rsid w:val="005A4410"/>
    <w:rsid w:val="005A4DBA"/>
    <w:rsid w:val="005A6CE2"/>
    <w:rsid w:val="005A7BB4"/>
    <w:rsid w:val="005B1E6B"/>
    <w:rsid w:val="005B23B9"/>
    <w:rsid w:val="005C03B6"/>
    <w:rsid w:val="005C2FD0"/>
    <w:rsid w:val="005C3626"/>
    <w:rsid w:val="005C592E"/>
    <w:rsid w:val="005C615F"/>
    <w:rsid w:val="005C6656"/>
    <w:rsid w:val="005C7617"/>
    <w:rsid w:val="005D018A"/>
    <w:rsid w:val="005D234F"/>
    <w:rsid w:val="005D2A79"/>
    <w:rsid w:val="005D4E70"/>
    <w:rsid w:val="005D5DA0"/>
    <w:rsid w:val="005D6898"/>
    <w:rsid w:val="005D773A"/>
    <w:rsid w:val="005E02CB"/>
    <w:rsid w:val="005E4541"/>
    <w:rsid w:val="005E52E4"/>
    <w:rsid w:val="005E633A"/>
    <w:rsid w:val="005F2928"/>
    <w:rsid w:val="005F56DB"/>
    <w:rsid w:val="005F622A"/>
    <w:rsid w:val="005F6FAA"/>
    <w:rsid w:val="005F6FC6"/>
    <w:rsid w:val="006045C6"/>
    <w:rsid w:val="0060560B"/>
    <w:rsid w:val="006059A2"/>
    <w:rsid w:val="00605E6E"/>
    <w:rsid w:val="00606257"/>
    <w:rsid w:val="00607328"/>
    <w:rsid w:val="006102AF"/>
    <w:rsid w:val="0061104D"/>
    <w:rsid w:val="00612885"/>
    <w:rsid w:val="00613001"/>
    <w:rsid w:val="00613F4F"/>
    <w:rsid w:val="0061557C"/>
    <w:rsid w:val="006218F3"/>
    <w:rsid w:val="00625A99"/>
    <w:rsid w:val="006275BD"/>
    <w:rsid w:val="006277C4"/>
    <w:rsid w:val="0063009B"/>
    <w:rsid w:val="006301E5"/>
    <w:rsid w:val="00633807"/>
    <w:rsid w:val="00636410"/>
    <w:rsid w:val="00637C40"/>
    <w:rsid w:val="006404EA"/>
    <w:rsid w:val="00640E74"/>
    <w:rsid w:val="00642339"/>
    <w:rsid w:val="0064478E"/>
    <w:rsid w:val="00646325"/>
    <w:rsid w:val="0064762B"/>
    <w:rsid w:val="00650C94"/>
    <w:rsid w:val="00652DB0"/>
    <w:rsid w:val="0065385F"/>
    <w:rsid w:val="0065539A"/>
    <w:rsid w:val="00655F8B"/>
    <w:rsid w:val="00656A15"/>
    <w:rsid w:val="00660258"/>
    <w:rsid w:val="00666627"/>
    <w:rsid w:val="00682F79"/>
    <w:rsid w:val="006842CA"/>
    <w:rsid w:val="006856ED"/>
    <w:rsid w:val="00685AD4"/>
    <w:rsid w:val="00686218"/>
    <w:rsid w:val="00686BA6"/>
    <w:rsid w:val="00690F82"/>
    <w:rsid w:val="0069278E"/>
    <w:rsid w:val="00695EF9"/>
    <w:rsid w:val="006A210D"/>
    <w:rsid w:val="006A247E"/>
    <w:rsid w:val="006A7F4C"/>
    <w:rsid w:val="006B0567"/>
    <w:rsid w:val="006B364C"/>
    <w:rsid w:val="006C019D"/>
    <w:rsid w:val="006C164A"/>
    <w:rsid w:val="006C6F4E"/>
    <w:rsid w:val="006C707A"/>
    <w:rsid w:val="006C7ADF"/>
    <w:rsid w:val="006D27CF"/>
    <w:rsid w:val="006D57B1"/>
    <w:rsid w:val="006D63CE"/>
    <w:rsid w:val="006E01CC"/>
    <w:rsid w:val="006E03EB"/>
    <w:rsid w:val="006E0C22"/>
    <w:rsid w:val="006E5A7D"/>
    <w:rsid w:val="006E6324"/>
    <w:rsid w:val="006F1004"/>
    <w:rsid w:val="006F1532"/>
    <w:rsid w:val="006F20CB"/>
    <w:rsid w:val="006F2CCA"/>
    <w:rsid w:val="006F357C"/>
    <w:rsid w:val="006F4138"/>
    <w:rsid w:val="006F47A1"/>
    <w:rsid w:val="006F4C03"/>
    <w:rsid w:val="006F532F"/>
    <w:rsid w:val="006F5767"/>
    <w:rsid w:val="006F5E40"/>
    <w:rsid w:val="006F5F96"/>
    <w:rsid w:val="006F62BC"/>
    <w:rsid w:val="006F72AD"/>
    <w:rsid w:val="00700601"/>
    <w:rsid w:val="0070250A"/>
    <w:rsid w:val="0070316D"/>
    <w:rsid w:val="00704B84"/>
    <w:rsid w:val="007067D8"/>
    <w:rsid w:val="00710142"/>
    <w:rsid w:val="0071121C"/>
    <w:rsid w:val="00714239"/>
    <w:rsid w:val="00714311"/>
    <w:rsid w:val="00716027"/>
    <w:rsid w:val="007160E8"/>
    <w:rsid w:val="00720624"/>
    <w:rsid w:val="00721DBB"/>
    <w:rsid w:val="00727642"/>
    <w:rsid w:val="0073249E"/>
    <w:rsid w:val="00733A89"/>
    <w:rsid w:val="0074062F"/>
    <w:rsid w:val="00742C79"/>
    <w:rsid w:val="00744433"/>
    <w:rsid w:val="00756872"/>
    <w:rsid w:val="00756B6F"/>
    <w:rsid w:val="0075756F"/>
    <w:rsid w:val="00760002"/>
    <w:rsid w:val="00762B44"/>
    <w:rsid w:val="00764214"/>
    <w:rsid w:val="007646C5"/>
    <w:rsid w:val="007668BD"/>
    <w:rsid w:val="007718EC"/>
    <w:rsid w:val="007722FE"/>
    <w:rsid w:val="0077467D"/>
    <w:rsid w:val="007749F4"/>
    <w:rsid w:val="0077684F"/>
    <w:rsid w:val="0078356C"/>
    <w:rsid w:val="00787BB2"/>
    <w:rsid w:val="00790006"/>
    <w:rsid w:val="007939C2"/>
    <w:rsid w:val="007945AA"/>
    <w:rsid w:val="007A17D3"/>
    <w:rsid w:val="007A2F31"/>
    <w:rsid w:val="007A3CC2"/>
    <w:rsid w:val="007B1241"/>
    <w:rsid w:val="007B2B97"/>
    <w:rsid w:val="007B31EB"/>
    <w:rsid w:val="007B332D"/>
    <w:rsid w:val="007B6353"/>
    <w:rsid w:val="007C1973"/>
    <w:rsid w:val="007C1FBE"/>
    <w:rsid w:val="007C3340"/>
    <w:rsid w:val="007C4DE7"/>
    <w:rsid w:val="007C7053"/>
    <w:rsid w:val="007D012B"/>
    <w:rsid w:val="007D26D3"/>
    <w:rsid w:val="007D2C87"/>
    <w:rsid w:val="007D3890"/>
    <w:rsid w:val="007E09DE"/>
    <w:rsid w:val="007E1517"/>
    <w:rsid w:val="007E3AAA"/>
    <w:rsid w:val="007E7F2B"/>
    <w:rsid w:val="007F0938"/>
    <w:rsid w:val="007F106F"/>
    <w:rsid w:val="007F1258"/>
    <w:rsid w:val="007F3DA1"/>
    <w:rsid w:val="007F7D2F"/>
    <w:rsid w:val="0080018F"/>
    <w:rsid w:val="008007E8"/>
    <w:rsid w:val="00803C37"/>
    <w:rsid w:val="00804C9D"/>
    <w:rsid w:val="008078EE"/>
    <w:rsid w:val="0081317C"/>
    <w:rsid w:val="008135E9"/>
    <w:rsid w:val="0082268E"/>
    <w:rsid w:val="0082383C"/>
    <w:rsid w:val="00824EDE"/>
    <w:rsid w:val="008301E8"/>
    <w:rsid w:val="008302C5"/>
    <w:rsid w:val="00831CAB"/>
    <w:rsid w:val="0083491D"/>
    <w:rsid w:val="00840EB6"/>
    <w:rsid w:val="008445D4"/>
    <w:rsid w:val="00844796"/>
    <w:rsid w:val="00845623"/>
    <w:rsid w:val="00845865"/>
    <w:rsid w:val="00845B0E"/>
    <w:rsid w:val="00846DC7"/>
    <w:rsid w:val="0085141A"/>
    <w:rsid w:val="00851EC9"/>
    <w:rsid w:val="008521C6"/>
    <w:rsid w:val="008526C3"/>
    <w:rsid w:val="00852DE2"/>
    <w:rsid w:val="0085417D"/>
    <w:rsid w:val="00864E0C"/>
    <w:rsid w:val="00865001"/>
    <w:rsid w:val="00870542"/>
    <w:rsid w:val="008719CF"/>
    <w:rsid w:val="008732BC"/>
    <w:rsid w:val="008734AF"/>
    <w:rsid w:val="00874CA7"/>
    <w:rsid w:val="00880746"/>
    <w:rsid w:val="00881208"/>
    <w:rsid w:val="00881758"/>
    <w:rsid w:val="00881C4E"/>
    <w:rsid w:val="008823FF"/>
    <w:rsid w:val="0088324F"/>
    <w:rsid w:val="008836B7"/>
    <w:rsid w:val="00883EFA"/>
    <w:rsid w:val="008844E6"/>
    <w:rsid w:val="008855FC"/>
    <w:rsid w:val="00886278"/>
    <w:rsid w:val="00886C5F"/>
    <w:rsid w:val="00887802"/>
    <w:rsid w:val="008908CE"/>
    <w:rsid w:val="0089114A"/>
    <w:rsid w:val="008A0A1B"/>
    <w:rsid w:val="008B0DDC"/>
    <w:rsid w:val="008B236B"/>
    <w:rsid w:val="008B34B2"/>
    <w:rsid w:val="008B3714"/>
    <w:rsid w:val="008B4B26"/>
    <w:rsid w:val="008B6526"/>
    <w:rsid w:val="008C13BD"/>
    <w:rsid w:val="008C181E"/>
    <w:rsid w:val="008C332F"/>
    <w:rsid w:val="008C4B16"/>
    <w:rsid w:val="008C4D0F"/>
    <w:rsid w:val="008C501E"/>
    <w:rsid w:val="008C6776"/>
    <w:rsid w:val="008C7BDF"/>
    <w:rsid w:val="008D0A5C"/>
    <w:rsid w:val="008D7424"/>
    <w:rsid w:val="008E2C08"/>
    <w:rsid w:val="008E4C2E"/>
    <w:rsid w:val="008E6779"/>
    <w:rsid w:val="008F045A"/>
    <w:rsid w:val="008F0EE4"/>
    <w:rsid w:val="008F2413"/>
    <w:rsid w:val="008F4E09"/>
    <w:rsid w:val="008F7699"/>
    <w:rsid w:val="009012AD"/>
    <w:rsid w:val="009041F5"/>
    <w:rsid w:val="009066A3"/>
    <w:rsid w:val="00910925"/>
    <w:rsid w:val="00913773"/>
    <w:rsid w:val="009155A0"/>
    <w:rsid w:val="009201CA"/>
    <w:rsid w:val="00924A9F"/>
    <w:rsid w:val="00926976"/>
    <w:rsid w:val="00926C32"/>
    <w:rsid w:val="00927D9C"/>
    <w:rsid w:val="00931051"/>
    <w:rsid w:val="0093256A"/>
    <w:rsid w:val="009350F8"/>
    <w:rsid w:val="009369E5"/>
    <w:rsid w:val="00940E62"/>
    <w:rsid w:val="00941246"/>
    <w:rsid w:val="00941764"/>
    <w:rsid w:val="0094257F"/>
    <w:rsid w:val="00942B0F"/>
    <w:rsid w:val="00946E66"/>
    <w:rsid w:val="00956539"/>
    <w:rsid w:val="00960CCA"/>
    <w:rsid w:val="009626AB"/>
    <w:rsid w:val="00962952"/>
    <w:rsid w:val="009668D8"/>
    <w:rsid w:val="00970B48"/>
    <w:rsid w:val="009755F8"/>
    <w:rsid w:val="00975B90"/>
    <w:rsid w:val="00976110"/>
    <w:rsid w:val="009821F8"/>
    <w:rsid w:val="00982C8C"/>
    <w:rsid w:val="00982EFA"/>
    <w:rsid w:val="009830B9"/>
    <w:rsid w:val="0098319C"/>
    <w:rsid w:val="0098389E"/>
    <w:rsid w:val="00983F9B"/>
    <w:rsid w:val="00984E73"/>
    <w:rsid w:val="00986CBE"/>
    <w:rsid w:val="00987CEC"/>
    <w:rsid w:val="0099182C"/>
    <w:rsid w:val="009959B4"/>
    <w:rsid w:val="00995D9D"/>
    <w:rsid w:val="009960BD"/>
    <w:rsid w:val="0099617D"/>
    <w:rsid w:val="009979BC"/>
    <w:rsid w:val="009A091D"/>
    <w:rsid w:val="009A0B6C"/>
    <w:rsid w:val="009A170C"/>
    <w:rsid w:val="009A1A14"/>
    <w:rsid w:val="009A3411"/>
    <w:rsid w:val="009A4C2D"/>
    <w:rsid w:val="009A4EB7"/>
    <w:rsid w:val="009B2E96"/>
    <w:rsid w:val="009B41C2"/>
    <w:rsid w:val="009B6ADD"/>
    <w:rsid w:val="009B6CFA"/>
    <w:rsid w:val="009C06C5"/>
    <w:rsid w:val="009C1470"/>
    <w:rsid w:val="009C5B7B"/>
    <w:rsid w:val="009C635C"/>
    <w:rsid w:val="009C7C5E"/>
    <w:rsid w:val="009D0779"/>
    <w:rsid w:val="009D1ADD"/>
    <w:rsid w:val="009D3076"/>
    <w:rsid w:val="009D3B4C"/>
    <w:rsid w:val="009D4301"/>
    <w:rsid w:val="009E0BD3"/>
    <w:rsid w:val="009E2CFB"/>
    <w:rsid w:val="009E3085"/>
    <w:rsid w:val="009E46B7"/>
    <w:rsid w:val="009E4D5E"/>
    <w:rsid w:val="009E6978"/>
    <w:rsid w:val="009E6E21"/>
    <w:rsid w:val="009F6E9A"/>
    <w:rsid w:val="009F77B0"/>
    <w:rsid w:val="009F785B"/>
    <w:rsid w:val="00A0003B"/>
    <w:rsid w:val="00A009B9"/>
    <w:rsid w:val="00A00E41"/>
    <w:rsid w:val="00A02231"/>
    <w:rsid w:val="00A02860"/>
    <w:rsid w:val="00A04C1D"/>
    <w:rsid w:val="00A05D6A"/>
    <w:rsid w:val="00A05D77"/>
    <w:rsid w:val="00A1172A"/>
    <w:rsid w:val="00A12AF3"/>
    <w:rsid w:val="00A1742E"/>
    <w:rsid w:val="00A177DF"/>
    <w:rsid w:val="00A211AC"/>
    <w:rsid w:val="00A218E7"/>
    <w:rsid w:val="00A2242E"/>
    <w:rsid w:val="00A23702"/>
    <w:rsid w:val="00A23A18"/>
    <w:rsid w:val="00A25BF7"/>
    <w:rsid w:val="00A333D5"/>
    <w:rsid w:val="00A33FB5"/>
    <w:rsid w:val="00A34B9D"/>
    <w:rsid w:val="00A3717F"/>
    <w:rsid w:val="00A53163"/>
    <w:rsid w:val="00A5426C"/>
    <w:rsid w:val="00A63103"/>
    <w:rsid w:val="00A6411C"/>
    <w:rsid w:val="00A660A1"/>
    <w:rsid w:val="00A66575"/>
    <w:rsid w:val="00A66A29"/>
    <w:rsid w:val="00A6779E"/>
    <w:rsid w:val="00A7037D"/>
    <w:rsid w:val="00A71B2E"/>
    <w:rsid w:val="00A731D1"/>
    <w:rsid w:val="00A73CDC"/>
    <w:rsid w:val="00A81EA2"/>
    <w:rsid w:val="00A82445"/>
    <w:rsid w:val="00A83F89"/>
    <w:rsid w:val="00A8568D"/>
    <w:rsid w:val="00A9218E"/>
    <w:rsid w:val="00A92910"/>
    <w:rsid w:val="00A92D63"/>
    <w:rsid w:val="00A96FE6"/>
    <w:rsid w:val="00AA30B9"/>
    <w:rsid w:val="00AA6851"/>
    <w:rsid w:val="00AB0C03"/>
    <w:rsid w:val="00AB6398"/>
    <w:rsid w:val="00AC2AB1"/>
    <w:rsid w:val="00AC3201"/>
    <w:rsid w:val="00AC5D0C"/>
    <w:rsid w:val="00AD143C"/>
    <w:rsid w:val="00AD1F7E"/>
    <w:rsid w:val="00AD296D"/>
    <w:rsid w:val="00AD3FF1"/>
    <w:rsid w:val="00AD5813"/>
    <w:rsid w:val="00AE1DC6"/>
    <w:rsid w:val="00AE27FA"/>
    <w:rsid w:val="00AE3B3D"/>
    <w:rsid w:val="00AF06FA"/>
    <w:rsid w:val="00AF0F84"/>
    <w:rsid w:val="00AF1EC2"/>
    <w:rsid w:val="00AF2479"/>
    <w:rsid w:val="00AF419C"/>
    <w:rsid w:val="00AF5EAD"/>
    <w:rsid w:val="00B02046"/>
    <w:rsid w:val="00B02461"/>
    <w:rsid w:val="00B02536"/>
    <w:rsid w:val="00B0293C"/>
    <w:rsid w:val="00B13C86"/>
    <w:rsid w:val="00B13CF4"/>
    <w:rsid w:val="00B13DE7"/>
    <w:rsid w:val="00B1666C"/>
    <w:rsid w:val="00B20972"/>
    <w:rsid w:val="00B2295D"/>
    <w:rsid w:val="00B23CE8"/>
    <w:rsid w:val="00B243D5"/>
    <w:rsid w:val="00B25AB9"/>
    <w:rsid w:val="00B27274"/>
    <w:rsid w:val="00B3096D"/>
    <w:rsid w:val="00B324F4"/>
    <w:rsid w:val="00B32974"/>
    <w:rsid w:val="00B33A53"/>
    <w:rsid w:val="00B3437D"/>
    <w:rsid w:val="00B35ACB"/>
    <w:rsid w:val="00B36E69"/>
    <w:rsid w:val="00B375E7"/>
    <w:rsid w:val="00B42937"/>
    <w:rsid w:val="00B42C9D"/>
    <w:rsid w:val="00B44482"/>
    <w:rsid w:val="00B5187E"/>
    <w:rsid w:val="00B522EF"/>
    <w:rsid w:val="00B52453"/>
    <w:rsid w:val="00B52465"/>
    <w:rsid w:val="00B54BB0"/>
    <w:rsid w:val="00B551B7"/>
    <w:rsid w:val="00B55943"/>
    <w:rsid w:val="00B567AD"/>
    <w:rsid w:val="00B61481"/>
    <w:rsid w:val="00B627F9"/>
    <w:rsid w:val="00B62E86"/>
    <w:rsid w:val="00B64245"/>
    <w:rsid w:val="00B6702D"/>
    <w:rsid w:val="00B67E3F"/>
    <w:rsid w:val="00B7581E"/>
    <w:rsid w:val="00B80264"/>
    <w:rsid w:val="00B8120C"/>
    <w:rsid w:val="00B827F1"/>
    <w:rsid w:val="00B86060"/>
    <w:rsid w:val="00B865F4"/>
    <w:rsid w:val="00B90942"/>
    <w:rsid w:val="00B9522A"/>
    <w:rsid w:val="00B954EF"/>
    <w:rsid w:val="00B95CF9"/>
    <w:rsid w:val="00BA7139"/>
    <w:rsid w:val="00BB0510"/>
    <w:rsid w:val="00BB1831"/>
    <w:rsid w:val="00BB2B89"/>
    <w:rsid w:val="00BB3765"/>
    <w:rsid w:val="00BB3FBA"/>
    <w:rsid w:val="00BB4896"/>
    <w:rsid w:val="00BC3B30"/>
    <w:rsid w:val="00BC3BBA"/>
    <w:rsid w:val="00BD50DC"/>
    <w:rsid w:val="00BD686F"/>
    <w:rsid w:val="00BE02F8"/>
    <w:rsid w:val="00BE56C0"/>
    <w:rsid w:val="00C009DE"/>
    <w:rsid w:val="00C01668"/>
    <w:rsid w:val="00C02C44"/>
    <w:rsid w:val="00C02D00"/>
    <w:rsid w:val="00C06814"/>
    <w:rsid w:val="00C077D7"/>
    <w:rsid w:val="00C07964"/>
    <w:rsid w:val="00C13C1E"/>
    <w:rsid w:val="00C148C1"/>
    <w:rsid w:val="00C156EA"/>
    <w:rsid w:val="00C204A7"/>
    <w:rsid w:val="00C25AEB"/>
    <w:rsid w:val="00C27C8B"/>
    <w:rsid w:val="00C32507"/>
    <w:rsid w:val="00C32543"/>
    <w:rsid w:val="00C335FE"/>
    <w:rsid w:val="00C357DE"/>
    <w:rsid w:val="00C36C14"/>
    <w:rsid w:val="00C373C8"/>
    <w:rsid w:val="00C42A80"/>
    <w:rsid w:val="00C44E5F"/>
    <w:rsid w:val="00C45A93"/>
    <w:rsid w:val="00C45E5A"/>
    <w:rsid w:val="00C46946"/>
    <w:rsid w:val="00C5318E"/>
    <w:rsid w:val="00C539A2"/>
    <w:rsid w:val="00C60291"/>
    <w:rsid w:val="00C61603"/>
    <w:rsid w:val="00C6303B"/>
    <w:rsid w:val="00C6355E"/>
    <w:rsid w:val="00C663D0"/>
    <w:rsid w:val="00C737A9"/>
    <w:rsid w:val="00C75B2B"/>
    <w:rsid w:val="00C81857"/>
    <w:rsid w:val="00C8207A"/>
    <w:rsid w:val="00C845D4"/>
    <w:rsid w:val="00C8610A"/>
    <w:rsid w:val="00C876C9"/>
    <w:rsid w:val="00C90D65"/>
    <w:rsid w:val="00C92125"/>
    <w:rsid w:val="00C93B12"/>
    <w:rsid w:val="00CA68D7"/>
    <w:rsid w:val="00CB03EF"/>
    <w:rsid w:val="00CB20E7"/>
    <w:rsid w:val="00CC0FAC"/>
    <w:rsid w:val="00CC16EB"/>
    <w:rsid w:val="00CC622E"/>
    <w:rsid w:val="00CC6C81"/>
    <w:rsid w:val="00CD058A"/>
    <w:rsid w:val="00CD0B61"/>
    <w:rsid w:val="00CD13D4"/>
    <w:rsid w:val="00CD2BAC"/>
    <w:rsid w:val="00CD332F"/>
    <w:rsid w:val="00CD3F3D"/>
    <w:rsid w:val="00CD6939"/>
    <w:rsid w:val="00CD740F"/>
    <w:rsid w:val="00CE001E"/>
    <w:rsid w:val="00CE13FB"/>
    <w:rsid w:val="00CE49D0"/>
    <w:rsid w:val="00CE55DF"/>
    <w:rsid w:val="00CF1E6A"/>
    <w:rsid w:val="00CF28FB"/>
    <w:rsid w:val="00CF301F"/>
    <w:rsid w:val="00CF6D17"/>
    <w:rsid w:val="00D000D2"/>
    <w:rsid w:val="00D016E9"/>
    <w:rsid w:val="00D13CA5"/>
    <w:rsid w:val="00D16088"/>
    <w:rsid w:val="00D16A7E"/>
    <w:rsid w:val="00D2223D"/>
    <w:rsid w:val="00D2424F"/>
    <w:rsid w:val="00D25D8B"/>
    <w:rsid w:val="00D26A0E"/>
    <w:rsid w:val="00D349C7"/>
    <w:rsid w:val="00D3582E"/>
    <w:rsid w:val="00D3715C"/>
    <w:rsid w:val="00D37573"/>
    <w:rsid w:val="00D376E8"/>
    <w:rsid w:val="00D426F5"/>
    <w:rsid w:val="00D42DD7"/>
    <w:rsid w:val="00D44232"/>
    <w:rsid w:val="00D44316"/>
    <w:rsid w:val="00D4655D"/>
    <w:rsid w:val="00D5208A"/>
    <w:rsid w:val="00D53157"/>
    <w:rsid w:val="00D531F2"/>
    <w:rsid w:val="00D57385"/>
    <w:rsid w:val="00D60499"/>
    <w:rsid w:val="00D62863"/>
    <w:rsid w:val="00D6320E"/>
    <w:rsid w:val="00D640B0"/>
    <w:rsid w:val="00D64758"/>
    <w:rsid w:val="00D669BF"/>
    <w:rsid w:val="00D6714A"/>
    <w:rsid w:val="00D70258"/>
    <w:rsid w:val="00D7059B"/>
    <w:rsid w:val="00D72B52"/>
    <w:rsid w:val="00D73443"/>
    <w:rsid w:val="00D74FAE"/>
    <w:rsid w:val="00D75702"/>
    <w:rsid w:val="00D75BC0"/>
    <w:rsid w:val="00D76A03"/>
    <w:rsid w:val="00D7747D"/>
    <w:rsid w:val="00D77B20"/>
    <w:rsid w:val="00D8437A"/>
    <w:rsid w:val="00D84F45"/>
    <w:rsid w:val="00D8528B"/>
    <w:rsid w:val="00D856F8"/>
    <w:rsid w:val="00D86A7B"/>
    <w:rsid w:val="00D90301"/>
    <w:rsid w:val="00D904D8"/>
    <w:rsid w:val="00D96205"/>
    <w:rsid w:val="00DA13B4"/>
    <w:rsid w:val="00DA1E22"/>
    <w:rsid w:val="00DA2014"/>
    <w:rsid w:val="00DA215A"/>
    <w:rsid w:val="00DA2A3D"/>
    <w:rsid w:val="00DA4A00"/>
    <w:rsid w:val="00DA5AF3"/>
    <w:rsid w:val="00DB104E"/>
    <w:rsid w:val="00DB33A8"/>
    <w:rsid w:val="00DC2EAD"/>
    <w:rsid w:val="00DD0758"/>
    <w:rsid w:val="00DD31FD"/>
    <w:rsid w:val="00DD44B1"/>
    <w:rsid w:val="00DD56CE"/>
    <w:rsid w:val="00DD6680"/>
    <w:rsid w:val="00DE7BC8"/>
    <w:rsid w:val="00DF2C5F"/>
    <w:rsid w:val="00DF3E85"/>
    <w:rsid w:val="00DF5205"/>
    <w:rsid w:val="00E0014E"/>
    <w:rsid w:val="00E001B3"/>
    <w:rsid w:val="00E02D74"/>
    <w:rsid w:val="00E04009"/>
    <w:rsid w:val="00E04194"/>
    <w:rsid w:val="00E0616B"/>
    <w:rsid w:val="00E10A0F"/>
    <w:rsid w:val="00E152F9"/>
    <w:rsid w:val="00E204B6"/>
    <w:rsid w:val="00E20D47"/>
    <w:rsid w:val="00E22C52"/>
    <w:rsid w:val="00E25A1B"/>
    <w:rsid w:val="00E302F5"/>
    <w:rsid w:val="00E3161D"/>
    <w:rsid w:val="00E31F81"/>
    <w:rsid w:val="00E35361"/>
    <w:rsid w:val="00E37269"/>
    <w:rsid w:val="00E41CAA"/>
    <w:rsid w:val="00E441AF"/>
    <w:rsid w:val="00E50F59"/>
    <w:rsid w:val="00E521A0"/>
    <w:rsid w:val="00E53C0B"/>
    <w:rsid w:val="00E54C42"/>
    <w:rsid w:val="00E601FF"/>
    <w:rsid w:val="00E6020F"/>
    <w:rsid w:val="00E62512"/>
    <w:rsid w:val="00E6467B"/>
    <w:rsid w:val="00E65824"/>
    <w:rsid w:val="00E665E5"/>
    <w:rsid w:val="00E67C8A"/>
    <w:rsid w:val="00E67F74"/>
    <w:rsid w:val="00E7081F"/>
    <w:rsid w:val="00E731FF"/>
    <w:rsid w:val="00E74634"/>
    <w:rsid w:val="00E761EA"/>
    <w:rsid w:val="00E76BA2"/>
    <w:rsid w:val="00E829E1"/>
    <w:rsid w:val="00E8350E"/>
    <w:rsid w:val="00E863EC"/>
    <w:rsid w:val="00E904F9"/>
    <w:rsid w:val="00E9108C"/>
    <w:rsid w:val="00E916BF"/>
    <w:rsid w:val="00E91C41"/>
    <w:rsid w:val="00E947EE"/>
    <w:rsid w:val="00E95A18"/>
    <w:rsid w:val="00E9604E"/>
    <w:rsid w:val="00EA0C82"/>
    <w:rsid w:val="00EA3C42"/>
    <w:rsid w:val="00EA4299"/>
    <w:rsid w:val="00EB2546"/>
    <w:rsid w:val="00EB2C7D"/>
    <w:rsid w:val="00EB633D"/>
    <w:rsid w:val="00EB656B"/>
    <w:rsid w:val="00EC06E2"/>
    <w:rsid w:val="00EC08CB"/>
    <w:rsid w:val="00EC0C3B"/>
    <w:rsid w:val="00EC39D6"/>
    <w:rsid w:val="00EC3E4B"/>
    <w:rsid w:val="00ED055E"/>
    <w:rsid w:val="00ED112E"/>
    <w:rsid w:val="00ED1BD5"/>
    <w:rsid w:val="00ED31F6"/>
    <w:rsid w:val="00ED39C7"/>
    <w:rsid w:val="00ED6B7C"/>
    <w:rsid w:val="00EE2FD7"/>
    <w:rsid w:val="00EE770F"/>
    <w:rsid w:val="00EE7A4A"/>
    <w:rsid w:val="00EF1267"/>
    <w:rsid w:val="00EF5D0E"/>
    <w:rsid w:val="00F01D7E"/>
    <w:rsid w:val="00F020AA"/>
    <w:rsid w:val="00F04216"/>
    <w:rsid w:val="00F04619"/>
    <w:rsid w:val="00F07A6C"/>
    <w:rsid w:val="00F1141D"/>
    <w:rsid w:val="00F11F5B"/>
    <w:rsid w:val="00F12F07"/>
    <w:rsid w:val="00F16C62"/>
    <w:rsid w:val="00F20B46"/>
    <w:rsid w:val="00F20CA7"/>
    <w:rsid w:val="00F229C7"/>
    <w:rsid w:val="00F26C75"/>
    <w:rsid w:val="00F30D06"/>
    <w:rsid w:val="00F30DF8"/>
    <w:rsid w:val="00F319BD"/>
    <w:rsid w:val="00F365B6"/>
    <w:rsid w:val="00F40C41"/>
    <w:rsid w:val="00F43DDF"/>
    <w:rsid w:val="00F44F62"/>
    <w:rsid w:val="00F462AA"/>
    <w:rsid w:val="00F47A33"/>
    <w:rsid w:val="00F508AB"/>
    <w:rsid w:val="00F511D2"/>
    <w:rsid w:val="00F576B0"/>
    <w:rsid w:val="00F6115C"/>
    <w:rsid w:val="00F6189B"/>
    <w:rsid w:val="00F61CFA"/>
    <w:rsid w:val="00F63D7F"/>
    <w:rsid w:val="00F64753"/>
    <w:rsid w:val="00F66B02"/>
    <w:rsid w:val="00F70B19"/>
    <w:rsid w:val="00F71EF2"/>
    <w:rsid w:val="00F7210A"/>
    <w:rsid w:val="00F73F05"/>
    <w:rsid w:val="00F7617A"/>
    <w:rsid w:val="00F77BF9"/>
    <w:rsid w:val="00F77DB1"/>
    <w:rsid w:val="00F81920"/>
    <w:rsid w:val="00F869A5"/>
    <w:rsid w:val="00F87D25"/>
    <w:rsid w:val="00F90E2F"/>
    <w:rsid w:val="00F91161"/>
    <w:rsid w:val="00F92C05"/>
    <w:rsid w:val="00F94BD3"/>
    <w:rsid w:val="00F94CC9"/>
    <w:rsid w:val="00F9533F"/>
    <w:rsid w:val="00FA0F77"/>
    <w:rsid w:val="00FA2C43"/>
    <w:rsid w:val="00FA3335"/>
    <w:rsid w:val="00FA799F"/>
    <w:rsid w:val="00FA7AC5"/>
    <w:rsid w:val="00FA7E20"/>
    <w:rsid w:val="00FB30D5"/>
    <w:rsid w:val="00FB4A66"/>
    <w:rsid w:val="00FB52EC"/>
    <w:rsid w:val="00FB54D4"/>
    <w:rsid w:val="00FB7DE5"/>
    <w:rsid w:val="00FC06ED"/>
    <w:rsid w:val="00FC1368"/>
    <w:rsid w:val="00FC1C78"/>
    <w:rsid w:val="00FC2338"/>
    <w:rsid w:val="00FC2E54"/>
    <w:rsid w:val="00FC3521"/>
    <w:rsid w:val="00FC68F3"/>
    <w:rsid w:val="00FC6B35"/>
    <w:rsid w:val="00FC6E08"/>
    <w:rsid w:val="00FC762B"/>
    <w:rsid w:val="00FD25E6"/>
    <w:rsid w:val="00FD452F"/>
    <w:rsid w:val="00FE3C77"/>
    <w:rsid w:val="00FE6A2E"/>
    <w:rsid w:val="00FE7528"/>
    <w:rsid w:val="00FF3982"/>
    <w:rsid w:val="00FF4FAD"/>
    <w:rsid w:val="00FF63C2"/>
    <w:rsid w:val="00FF7576"/>
    <w:rsid w:val="00FF7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o:shapelayout v:ext="edit">
      <o:idmap v:ext="edit" data="1"/>
    </o:shapelayout>
  </w:shapeDefaults>
  <w:decimalSymbol w:val="."/>
  <w:listSeparator w:val=","/>
  <w14:docId w14:val="3614E588"/>
  <w15:docId w15:val="{E5A04B5B-AEBE-4666-B6BF-42F8454C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3" w:semiHidden="1" w:unhideWhenUsed="1" w:qFormat="1"/>
    <w:lsdException w:name="heading 4"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24D"/>
    <w:pPr>
      <w:overflowPunct w:val="0"/>
      <w:autoSpaceDE w:val="0"/>
      <w:autoSpaceDN w:val="0"/>
      <w:adjustRightInd w:val="0"/>
      <w:textAlignment w:val="baseline"/>
    </w:pPr>
    <w:rPr>
      <w:rFonts w:ascii="Times" w:hAnsi="Times"/>
      <w:sz w:val="24"/>
      <w:lang w:eastAsia="en-US"/>
    </w:rPr>
  </w:style>
  <w:style w:type="paragraph" w:styleId="Heading1">
    <w:name w:val="heading 1"/>
    <w:basedOn w:val="Normal"/>
    <w:next w:val="Normal"/>
    <w:link w:val="Heading1Char"/>
    <w:qFormat/>
    <w:rsid w:val="003C0226"/>
    <w:pPr>
      <w:keepNext/>
      <w:outlineLvl w:val="0"/>
    </w:pPr>
    <w:rPr>
      <w:rFonts w:ascii="Arial" w:hAnsi="Arial"/>
      <w:b/>
      <w:bCs/>
      <w:lang w:val="en-US"/>
    </w:rPr>
  </w:style>
  <w:style w:type="paragraph" w:styleId="Heading2">
    <w:name w:val="heading 2"/>
    <w:basedOn w:val="Normal"/>
    <w:next w:val="Normal"/>
    <w:rsid w:val="007D26D3"/>
    <w:pPr>
      <w:keepNext/>
      <w:spacing w:before="240" w:after="60"/>
      <w:outlineLvl w:val="1"/>
    </w:pPr>
    <w:rPr>
      <w:rFonts w:ascii="Arial" w:hAnsi="Arial" w:cs="Arial"/>
      <w:b/>
      <w:bCs/>
      <w:i/>
      <w:iCs/>
      <w:sz w:val="28"/>
      <w:szCs w:val="28"/>
    </w:rPr>
  </w:style>
  <w:style w:type="paragraph" w:styleId="Heading5">
    <w:name w:val="heading 5"/>
    <w:basedOn w:val="Normal"/>
    <w:next w:val="Normal"/>
    <w:rsid w:val="003F137F"/>
    <w:pPr>
      <w:spacing w:before="240" w:after="60"/>
      <w:outlineLvl w:val="4"/>
    </w:pPr>
    <w:rPr>
      <w:rFonts w:ascii="Arial" w:hAnsi="Arial"/>
      <w:b/>
      <w:bCs/>
      <w:i/>
      <w:iCs/>
      <w:sz w:val="26"/>
      <w:szCs w:val="26"/>
    </w:rPr>
  </w:style>
  <w:style w:type="paragraph" w:styleId="Heading6">
    <w:name w:val="heading 6"/>
    <w:basedOn w:val="Normal"/>
    <w:next w:val="Normal"/>
    <w:link w:val="Heading6Char"/>
    <w:semiHidden/>
    <w:unhideWhenUsed/>
    <w:qFormat/>
    <w:rsid w:val="00F47A3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5B7B"/>
    <w:pPr>
      <w:tabs>
        <w:tab w:val="center" w:pos="4153"/>
        <w:tab w:val="right" w:pos="8306"/>
      </w:tabs>
    </w:pPr>
    <w:rPr>
      <w:rFonts w:ascii="Arial" w:hAnsi="Arial"/>
    </w:rPr>
  </w:style>
  <w:style w:type="paragraph" w:styleId="Footer">
    <w:name w:val="footer"/>
    <w:basedOn w:val="Normal"/>
    <w:link w:val="FooterChar"/>
    <w:uiPriority w:val="99"/>
    <w:rsid w:val="009C5B7B"/>
    <w:pPr>
      <w:tabs>
        <w:tab w:val="center" w:pos="4153"/>
        <w:tab w:val="right" w:pos="8306"/>
      </w:tabs>
    </w:pPr>
    <w:rPr>
      <w:rFonts w:ascii="Arial" w:hAnsi="Arial"/>
    </w:rPr>
  </w:style>
  <w:style w:type="paragraph" w:styleId="BalloonText">
    <w:name w:val="Balloon Text"/>
    <w:basedOn w:val="Normal"/>
    <w:semiHidden/>
    <w:rsid w:val="009C5B7B"/>
    <w:rPr>
      <w:rFonts w:ascii="Tahoma" w:hAnsi="Tahoma" w:cs="Tahoma"/>
      <w:sz w:val="16"/>
      <w:szCs w:val="16"/>
    </w:rPr>
  </w:style>
  <w:style w:type="character" w:styleId="Hyperlink">
    <w:name w:val="Hyperlink"/>
    <w:rsid w:val="003F137F"/>
    <w:rPr>
      <w:color w:val="0000FF"/>
      <w:u w:val="single"/>
    </w:rPr>
  </w:style>
  <w:style w:type="paragraph" w:styleId="BodyTextIndent">
    <w:name w:val="Body Text Indent"/>
    <w:basedOn w:val="Normal"/>
    <w:rsid w:val="003F137F"/>
    <w:pPr>
      <w:ind w:left="426" w:hanging="426"/>
    </w:pPr>
    <w:rPr>
      <w:rFonts w:ascii="Times New Roman" w:hAnsi="Times New Roman"/>
    </w:rPr>
  </w:style>
  <w:style w:type="paragraph" w:customStyle="1" w:styleId="Subsection">
    <w:name w:val="Subsection"/>
    <w:aliases w:val="ss,subsection"/>
    <w:basedOn w:val="Normal"/>
    <w:uiPriority w:val="99"/>
    <w:rsid w:val="003F137F"/>
    <w:pPr>
      <w:tabs>
        <w:tab w:val="right" w:pos="1021"/>
      </w:tabs>
      <w:overflowPunct/>
      <w:adjustRightInd/>
      <w:spacing w:before="180" w:line="260" w:lineRule="atLeast"/>
      <w:ind w:left="1134" w:hanging="1134"/>
      <w:textAlignment w:val="auto"/>
    </w:pPr>
    <w:rPr>
      <w:rFonts w:ascii="Arial" w:hAnsi="Arial"/>
      <w:sz w:val="22"/>
      <w:szCs w:val="22"/>
    </w:rPr>
  </w:style>
  <w:style w:type="paragraph" w:customStyle="1" w:styleId="indenta">
    <w:name w:val="indent(a)"/>
    <w:aliases w:val="a,paragraph"/>
    <w:basedOn w:val="Normal"/>
    <w:uiPriority w:val="99"/>
    <w:rsid w:val="003F137F"/>
    <w:pPr>
      <w:tabs>
        <w:tab w:val="right" w:pos="1531"/>
      </w:tabs>
      <w:overflowPunct/>
      <w:adjustRightInd/>
      <w:spacing w:before="40" w:line="260" w:lineRule="atLeast"/>
      <w:ind w:left="1644" w:hanging="1644"/>
      <w:textAlignment w:val="auto"/>
    </w:pPr>
    <w:rPr>
      <w:rFonts w:ascii="Arial" w:hAnsi="Arial"/>
      <w:sz w:val="22"/>
      <w:szCs w:val="22"/>
    </w:rPr>
  </w:style>
  <w:style w:type="character" w:styleId="PageNumber">
    <w:name w:val="page number"/>
    <w:basedOn w:val="DefaultParagraphFont"/>
    <w:rsid w:val="00FF7F60"/>
  </w:style>
  <w:style w:type="character" w:styleId="Strong">
    <w:name w:val="Strong"/>
    <w:rsid w:val="00E54C42"/>
    <w:rPr>
      <w:b/>
      <w:bCs/>
    </w:rPr>
  </w:style>
  <w:style w:type="paragraph" w:customStyle="1" w:styleId="DotPoint2">
    <w:name w:val="Dot Point 2"/>
    <w:basedOn w:val="Normal"/>
    <w:rsid w:val="008B236B"/>
    <w:pPr>
      <w:numPr>
        <w:numId w:val="10"/>
      </w:numPr>
      <w:overflowPunct/>
      <w:autoSpaceDE/>
      <w:autoSpaceDN/>
      <w:adjustRightInd/>
      <w:textAlignment w:val="auto"/>
    </w:pPr>
    <w:rPr>
      <w:rFonts w:ascii="Times New Roman" w:hAnsi="Times New Roman"/>
      <w:szCs w:val="24"/>
    </w:rPr>
  </w:style>
  <w:style w:type="table" w:styleId="TableGrid">
    <w:name w:val="Table Grid"/>
    <w:basedOn w:val="TableNormal"/>
    <w:rsid w:val="00EB2C7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F47A33"/>
    <w:rPr>
      <w:rFonts w:ascii="Calibri" w:hAnsi="Calibri"/>
      <w:b/>
      <w:bCs/>
      <w:sz w:val="22"/>
      <w:szCs w:val="22"/>
      <w:lang w:eastAsia="en-US"/>
    </w:rPr>
  </w:style>
  <w:style w:type="paragraph" w:styleId="FootnoteText">
    <w:name w:val="footnote text"/>
    <w:basedOn w:val="Normal"/>
    <w:link w:val="FootnoteTextChar"/>
    <w:rsid w:val="00D75BC0"/>
    <w:pPr>
      <w:overflowPunct/>
      <w:autoSpaceDE/>
      <w:autoSpaceDN/>
      <w:adjustRightInd/>
      <w:jc w:val="both"/>
      <w:textAlignment w:val="auto"/>
    </w:pPr>
    <w:rPr>
      <w:rFonts w:ascii="Times New Roman" w:hAnsi="Times New Roman"/>
      <w:sz w:val="20"/>
      <w:lang w:eastAsia="en-AU"/>
    </w:rPr>
  </w:style>
  <w:style w:type="character" w:customStyle="1" w:styleId="FootnoteTextChar">
    <w:name w:val="Footnote Text Char"/>
    <w:basedOn w:val="DefaultParagraphFont"/>
    <w:link w:val="FootnoteText"/>
    <w:rsid w:val="00D75BC0"/>
  </w:style>
  <w:style w:type="character" w:styleId="FootnoteReference">
    <w:name w:val="footnote reference"/>
    <w:rsid w:val="00D75BC0"/>
    <w:rPr>
      <w:vertAlign w:val="superscript"/>
    </w:rPr>
  </w:style>
  <w:style w:type="character" w:customStyle="1" w:styleId="HeaderChar">
    <w:name w:val="Header Char"/>
    <w:link w:val="Header"/>
    <w:uiPriority w:val="99"/>
    <w:rsid w:val="00D75BC0"/>
    <w:rPr>
      <w:rFonts w:ascii="Times" w:hAnsi="Times"/>
      <w:sz w:val="24"/>
      <w:lang w:eastAsia="en-US"/>
    </w:rPr>
  </w:style>
  <w:style w:type="character" w:customStyle="1" w:styleId="FooterChar">
    <w:name w:val="Footer Char"/>
    <w:link w:val="Footer"/>
    <w:uiPriority w:val="99"/>
    <w:rsid w:val="00D75BC0"/>
    <w:rPr>
      <w:rFonts w:ascii="Times" w:hAnsi="Times"/>
      <w:sz w:val="24"/>
      <w:lang w:eastAsia="en-US"/>
    </w:rPr>
  </w:style>
  <w:style w:type="paragraph" w:customStyle="1" w:styleId="PSRBulletPoints2">
    <w:name w:val="PSR Bullet Points 2"/>
    <w:basedOn w:val="PSRBulletPoints1"/>
    <w:link w:val="PSRBulletPoints2Char"/>
    <w:qFormat/>
    <w:rsid w:val="0085141A"/>
    <w:pPr>
      <w:numPr>
        <w:ilvl w:val="1"/>
      </w:numPr>
      <w:ind w:left="714" w:hanging="357"/>
    </w:pPr>
  </w:style>
  <w:style w:type="paragraph" w:customStyle="1" w:styleId="PSRNumberedList1">
    <w:name w:val="PSR Numbered List 1"/>
    <w:basedOn w:val="PSRBulletPoints1"/>
    <w:link w:val="PSRNumberedList1Char"/>
    <w:qFormat/>
    <w:rsid w:val="001067E1"/>
    <w:pPr>
      <w:numPr>
        <w:numId w:val="19"/>
      </w:numPr>
      <w:ind w:left="357" w:hanging="357"/>
    </w:pPr>
  </w:style>
  <w:style w:type="paragraph" w:styleId="Title">
    <w:name w:val="Title"/>
    <w:basedOn w:val="Normal"/>
    <w:next w:val="Normal"/>
    <w:link w:val="TitleChar"/>
    <w:rsid w:val="008D7424"/>
    <w:pPr>
      <w:spacing w:before="240" w:after="60"/>
      <w:jc w:val="center"/>
      <w:outlineLvl w:val="0"/>
    </w:pPr>
    <w:rPr>
      <w:rFonts w:ascii="Cambria" w:hAnsi="Cambria"/>
      <w:b/>
      <w:bCs/>
      <w:kern w:val="28"/>
      <w:sz w:val="32"/>
      <w:szCs w:val="32"/>
    </w:rPr>
  </w:style>
  <w:style w:type="character" w:customStyle="1" w:styleId="TitleChar">
    <w:name w:val="Title Char"/>
    <w:link w:val="Title"/>
    <w:rsid w:val="008D7424"/>
    <w:rPr>
      <w:rFonts w:ascii="Cambria" w:eastAsia="Times New Roman" w:hAnsi="Cambria" w:cs="Times New Roman"/>
      <w:b/>
      <w:bCs/>
      <w:kern w:val="28"/>
      <w:sz w:val="32"/>
      <w:szCs w:val="32"/>
      <w:lang w:eastAsia="en-US"/>
    </w:rPr>
  </w:style>
  <w:style w:type="paragraph" w:customStyle="1" w:styleId="PSRParagraph">
    <w:name w:val="PSR Paragraph"/>
    <w:basedOn w:val="Normal"/>
    <w:link w:val="PSRParagraphChar"/>
    <w:qFormat/>
    <w:rsid w:val="008F4E09"/>
    <w:pPr>
      <w:spacing w:before="240"/>
    </w:pPr>
    <w:rPr>
      <w:rFonts w:ascii="Arial" w:hAnsi="Arial"/>
    </w:rPr>
  </w:style>
  <w:style w:type="paragraph" w:customStyle="1" w:styleId="PSRSubjectLine">
    <w:name w:val="PSR Subject Line"/>
    <w:basedOn w:val="Normal"/>
    <w:link w:val="PSRSubjectLineChar"/>
    <w:qFormat/>
    <w:rsid w:val="00F47A33"/>
    <w:pPr>
      <w:spacing w:before="240" w:line="276" w:lineRule="auto"/>
    </w:pPr>
    <w:rPr>
      <w:rFonts w:ascii="Arial" w:hAnsi="Arial" w:cs="Arial"/>
      <w:b/>
      <w:szCs w:val="24"/>
      <w:lang w:val="en-US"/>
    </w:rPr>
  </w:style>
  <w:style w:type="character" w:customStyle="1" w:styleId="PSRParagraphChar">
    <w:name w:val="PSR Paragraph Char"/>
    <w:link w:val="PSRParagraph"/>
    <w:rsid w:val="008F4E09"/>
    <w:rPr>
      <w:rFonts w:ascii="Arial" w:hAnsi="Arial"/>
      <w:sz w:val="24"/>
      <w:lang w:eastAsia="en-US"/>
    </w:rPr>
  </w:style>
  <w:style w:type="character" w:customStyle="1" w:styleId="PSRSubjectLineChar">
    <w:name w:val="PSR Subject Line Char"/>
    <w:link w:val="PSRSubjectLine"/>
    <w:rsid w:val="00F47A33"/>
    <w:rPr>
      <w:rFonts w:ascii="Arial" w:hAnsi="Arial" w:cs="Arial"/>
      <w:b/>
      <w:sz w:val="24"/>
      <w:szCs w:val="24"/>
      <w:lang w:val="en-US" w:eastAsia="en-US"/>
    </w:rPr>
  </w:style>
  <w:style w:type="paragraph" w:customStyle="1" w:styleId="PSRAddressBlock">
    <w:name w:val="PSR Address Block"/>
    <w:basedOn w:val="Normal"/>
    <w:link w:val="PSRAddressBlockChar"/>
    <w:qFormat/>
    <w:rsid w:val="008F4E09"/>
    <w:pPr>
      <w:spacing w:before="600"/>
      <w:contextualSpacing/>
    </w:pPr>
    <w:rPr>
      <w:rFonts w:ascii="Arial" w:hAnsi="Arial"/>
    </w:rPr>
  </w:style>
  <w:style w:type="character" w:styleId="HTMLSample">
    <w:name w:val="HTML Sample"/>
    <w:rsid w:val="000B269A"/>
    <w:rPr>
      <w:rFonts w:ascii="Consolas" w:hAnsi="Consolas" w:cs="Consolas"/>
      <w:sz w:val="24"/>
      <w:szCs w:val="24"/>
    </w:rPr>
  </w:style>
  <w:style w:type="paragraph" w:customStyle="1" w:styleId="PSRSalutation">
    <w:name w:val="PSR Salutation"/>
    <w:basedOn w:val="Normal"/>
    <w:link w:val="PSRSalutationChar"/>
    <w:qFormat/>
    <w:rsid w:val="00330578"/>
    <w:pPr>
      <w:spacing w:before="600" w:line="276" w:lineRule="auto"/>
    </w:pPr>
    <w:rPr>
      <w:rFonts w:ascii="Arial" w:hAnsi="Arial" w:cs="Arial"/>
      <w:szCs w:val="24"/>
      <w:lang w:val="en-US"/>
    </w:rPr>
  </w:style>
  <w:style w:type="character" w:styleId="CommentReference">
    <w:name w:val="annotation reference"/>
    <w:semiHidden/>
    <w:unhideWhenUsed/>
    <w:rsid w:val="00337273"/>
    <w:rPr>
      <w:sz w:val="16"/>
      <w:szCs w:val="16"/>
    </w:rPr>
  </w:style>
  <w:style w:type="character" w:customStyle="1" w:styleId="PSRSalutationChar">
    <w:name w:val="PSR Salutation Char"/>
    <w:link w:val="PSRSalutation"/>
    <w:rsid w:val="00330578"/>
    <w:rPr>
      <w:rFonts w:ascii="Arial" w:hAnsi="Arial" w:cs="Arial"/>
      <w:sz w:val="24"/>
      <w:szCs w:val="24"/>
      <w:lang w:val="en-US" w:eastAsia="en-US"/>
    </w:rPr>
  </w:style>
  <w:style w:type="character" w:customStyle="1" w:styleId="PSRAddressBlockChar">
    <w:name w:val="PSR Address Block Char"/>
    <w:link w:val="PSRAddressBlock"/>
    <w:rsid w:val="008F4E09"/>
    <w:rPr>
      <w:rFonts w:ascii="Arial" w:hAnsi="Arial"/>
      <w:sz w:val="24"/>
      <w:lang w:eastAsia="en-US"/>
    </w:rPr>
  </w:style>
  <w:style w:type="paragraph" w:styleId="CommentText">
    <w:name w:val="annotation text"/>
    <w:basedOn w:val="Normal"/>
    <w:link w:val="CommentTextChar"/>
    <w:semiHidden/>
    <w:unhideWhenUsed/>
    <w:rsid w:val="00337273"/>
    <w:rPr>
      <w:rFonts w:ascii="Arial" w:hAnsi="Arial"/>
      <w:sz w:val="20"/>
    </w:rPr>
  </w:style>
  <w:style w:type="paragraph" w:customStyle="1" w:styleId="PSRSignatureBlock">
    <w:name w:val="PSR Signature Block"/>
    <w:basedOn w:val="Normal"/>
    <w:link w:val="PSRSignatureBlockChar"/>
    <w:qFormat/>
    <w:rsid w:val="00337273"/>
    <w:pPr>
      <w:spacing w:before="720" w:line="276" w:lineRule="auto"/>
      <w:contextualSpacing/>
    </w:pPr>
    <w:rPr>
      <w:rFonts w:ascii="Arial" w:hAnsi="Arial" w:cs="Arial"/>
      <w:szCs w:val="24"/>
      <w:lang w:val="en-US"/>
    </w:rPr>
  </w:style>
  <w:style w:type="character" w:customStyle="1" w:styleId="CommentTextChar">
    <w:name w:val="Comment Text Char"/>
    <w:link w:val="CommentText"/>
    <w:semiHidden/>
    <w:rsid w:val="00337273"/>
    <w:rPr>
      <w:rFonts w:ascii="Arial" w:hAnsi="Arial"/>
      <w:lang w:eastAsia="en-US"/>
    </w:rPr>
  </w:style>
  <w:style w:type="character" w:customStyle="1" w:styleId="PSRSignatureBlockChar">
    <w:name w:val="PSR Signature Block Char"/>
    <w:link w:val="PSRSignatureBlock"/>
    <w:rsid w:val="00337273"/>
    <w:rPr>
      <w:rFonts w:ascii="Arial" w:hAnsi="Arial" w:cs="Arial"/>
      <w:sz w:val="24"/>
      <w:szCs w:val="24"/>
      <w:lang w:val="en-US" w:eastAsia="en-US"/>
    </w:rPr>
  </w:style>
  <w:style w:type="paragraph" w:styleId="CommentSubject">
    <w:name w:val="annotation subject"/>
    <w:basedOn w:val="CommentText"/>
    <w:next w:val="CommentText"/>
    <w:link w:val="CommentSubjectChar"/>
    <w:semiHidden/>
    <w:unhideWhenUsed/>
    <w:rsid w:val="00337273"/>
    <w:rPr>
      <w:b/>
      <w:bCs/>
    </w:rPr>
  </w:style>
  <w:style w:type="character" w:customStyle="1" w:styleId="CommentSubjectChar">
    <w:name w:val="Comment Subject Char"/>
    <w:link w:val="CommentSubject"/>
    <w:semiHidden/>
    <w:rsid w:val="00337273"/>
    <w:rPr>
      <w:rFonts w:ascii="Arial" w:hAnsi="Arial"/>
      <w:b/>
      <w:bCs/>
      <w:lang w:eastAsia="en-US"/>
    </w:rPr>
  </w:style>
  <w:style w:type="paragraph" w:customStyle="1" w:styleId="PSRBulletPoints1">
    <w:name w:val="PSR Bullet Points 1"/>
    <w:basedOn w:val="PSRParagraph"/>
    <w:link w:val="PSRBulletPoints1Char"/>
    <w:qFormat/>
    <w:rsid w:val="001067E1"/>
    <w:pPr>
      <w:numPr>
        <w:numId w:val="18"/>
      </w:numPr>
      <w:spacing w:before="120"/>
      <w:ind w:left="357" w:hanging="357"/>
      <w:contextualSpacing/>
    </w:pPr>
  </w:style>
  <w:style w:type="character" w:customStyle="1" w:styleId="PSRBulletPoints2Char">
    <w:name w:val="PSR Bullet Points 2 Char"/>
    <w:link w:val="PSRBulletPoints2"/>
    <w:rsid w:val="0085141A"/>
    <w:rPr>
      <w:rFonts w:ascii="Arial" w:hAnsi="Arial"/>
      <w:sz w:val="24"/>
      <w:lang w:eastAsia="en-US"/>
    </w:rPr>
  </w:style>
  <w:style w:type="character" w:customStyle="1" w:styleId="PSRBulletPoints1Char">
    <w:name w:val="PSR Bullet Points 1 Char"/>
    <w:link w:val="PSRBulletPoints1"/>
    <w:rsid w:val="001067E1"/>
    <w:rPr>
      <w:rFonts w:ascii="Arial" w:hAnsi="Arial"/>
      <w:sz w:val="24"/>
      <w:lang w:eastAsia="en-US"/>
    </w:rPr>
  </w:style>
  <w:style w:type="paragraph" w:customStyle="1" w:styleId="PSRNumberedList2">
    <w:name w:val="PSR Numbered List 2"/>
    <w:basedOn w:val="PSRNumberedList1"/>
    <w:link w:val="PSRNumberedList2Char"/>
    <w:qFormat/>
    <w:rsid w:val="00F365B6"/>
    <w:pPr>
      <w:numPr>
        <w:ilvl w:val="1"/>
        <w:numId w:val="23"/>
      </w:numPr>
      <w:ind w:left="714" w:hanging="357"/>
    </w:pPr>
  </w:style>
  <w:style w:type="character" w:customStyle="1" w:styleId="PSRNumberedList1Char">
    <w:name w:val="PSR Numbered List 1 Char"/>
    <w:link w:val="PSRNumberedList1"/>
    <w:rsid w:val="001067E1"/>
    <w:rPr>
      <w:rFonts w:ascii="Arial" w:hAnsi="Arial"/>
      <w:sz w:val="24"/>
      <w:lang w:eastAsia="en-US"/>
    </w:rPr>
  </w:style>
  <w:style w:type="character" w:customStyle="1" w:styleId="PSRNumberedList2Char">
    <w:name w:val="PSR Numbered List 2 Char"/>
    <w:link w:val="PSRNumberedList2"/>
    <w:rsid w:val="00F365B6"/>
    <w:rPr>
      <w:rFonts w:ascii="Arial" w:hAnsi="Arial"/>
      <w:sz w:val="24"/>
      <w:lang w:eastAsia="en-US"/>
    </w:rPr>
  </w:style>
  <w:style w:type="paragraph" w:customStyle="1" w:styleId="ACTIVITYTEXT">
    <w:name w:val="ACTIVITYTEXT"/>
    <w:rsid w:val="001D27ED"/>
    <w:pPr>
      <w:spacing w:before="120" w:after="120"/>
    </w:pPr>
    <w:rPr>
      <w:rFonts w:ascii="Arial" w:hAnsi="Arial"/>
      <w:lang w:eastAsia="en-US"/>
    </w:rPr>
  </w:style>
  <w:style w:type="paragraph" w:customStyle="1" w:styleId="PSRHeading1">
    <w:name w:val="PSR Heading 1"/>
    <w:basedOn w:val="PSRBulletPoints1"/>
    <w:link w:val="PSRHeading1Char"/>
    <w:qFormat/>
    <w:rsid w:val="00700601"/>
    <w:pPr>
      <w:numPr>
        <w:numId w:val="0"/>
      </w:numPr>
      <w:ind w:left="360" w:hanging="360"/>
    </w:pPr>
    <w:rPr>
      <w:b/>
      <w:caps/>
      <w:sz w:val="36"/>
      <w:szCs w:val="36"/>
    </w:rPr>
  </w:style>
  <w:style w:type="paragraph" w:customStyle="1" w:styleId="PSRHeading2">
    <w:name w:val="PSR Heading 2"/>
    <w:basedOn w:val="PSRBulletPoints1"/>
    <w:link w:val="PSRHeading2Char"/>
    <w:qFormat/>
    <w:rsid w:val="001D27ED"/>
    <w:pPr>
      <w:numPr>
        <w:numId w:val="0"/>
      </w:numPr>
      <w:ind w:left="360" w:hanging="360"/>
    </w:pPr>
    <w:rPr>
      <w:b/>
      <w:sz w:val="32"/>
      <w:szCs w:val="32"/>
    </w:rPr>
  </w:style>
  <w:style w:type="character" w:customStyle="1" w:styleId="PSRHeading1Char">
    <w:name w:val="PSR Heading 1 Char"/>
    <w:basedOn w:val="PSRBulletPoints1Char"/>
    <w:link w:val="PSRHeading1"/>
    <w:rsid w:val="00700601"/>
    <w:rPr>
      <w:rFonts w:ascii="Arial" w:hAnsi="Arial"/>
      <w:b/>
      <w:caps/>
      <w:sz w:val="36"/>
      <w:szCs w:val="36"/>
      <w:lang w:eastAsia="en-US"/>
    </w:rPr>
  </w:style>
  <w:style w:type="paragraph" w:customStyle="1" w:styleId="PSRHeading3">
    <w:name w:val="PSR Heading 3"/>
    <w:basedOn w:val="PSRBulletPoints1"/>
    <w:link w:val="PSRHeading3Char"/>
    <w:qFormat/>
    <w:rsid w:val="00700601"/>
    <w:pPr>
      <w:numPr>
        <w:numId w:val="0"/>
      </w:numPr>
      <w:ind w:left="360" w:hanging="360"/>
    </w:pPr>
    <w:rPr>
      <w:b/>
      <w:caps/>
    </w:rPr>
  </w:style>
  <w:style w:type="character" w:customStyle="1" w:styleId="PSRHeading2Char">
    <w:name w:val="PSR Heading 2 Char"/>
    <w:basedOn w:val="PSRBulletPoints1Char"/>
    <w:link w:val="PSRHeading2"/>
    <w:rsid w:val="001D27ED"/>
    <w:rPr>
      <w:rFonts w:ascii="Arial" w:hAnsi="Arial"/>
      <w:b/>
      <w:sz w:val="32"/>
      <w:szCs w:val="32"/>
      <w:lang w:eastAsia="en-US"/>
    </w:rPr>
  </w:style>
  <w:style w:type="paragraph" w:customStyle="1" w:styleId="PSRHeading4">
    <w:name w:val="PSR Heading 4"/>
    <w:basedOn w:val="PSRBulletPoints1"/>
    <w:link w:val="PSRHeading4Char"/>
    <w:qFormat/>
    <w:rsid w:val="00700601"/>
    <w:pPr>
      <w:numPr>
        <w:numId w:val="0"/>
      </w:numPr>
      <w:ind w:left="360" w:hanging="360"/>
    </w:pPr>
    <w:rPr>
      <w:b/>
      <w:szCs w:val="24"/>
    </w:rPr>
  </w:style>
  <w:style w:type="character" w:customStyle="1" w:styleId="PSRHeading3Char">
    <w:name w:val="PSR Heading 3 Char"/>
    <w:basedOn w:val="PSRBulletPoints1Char"/>
    <w:link w:val="PSRHeading3"/>
    <w:rsid w:val="00700601"/>
    <w:rPr>
      <w:rFonts w:ascii="Arial" w:hAnsi="Arial"/>
      <w:b/>
      <w:caps/>
      <w:sz w:val="24"/>
      <w:lang w:eastAsia="en-US"/>
    </w:rPr>
  </w:style>
  <w:style w:type="character" w:customStyle="1" w:styleId="PSRHeading4Char">
    <w:name w:val="PSR Heading 4 Char"/>
    <w:basedOn w:val="PSRBulletPoints1Char"/>
    <w:link w:val="PSRHeading4"/>
    <w:rsid w:val="00700601"/>
    <w:rPr>
      <w:rFonts w:ascii="Arial" w:hAnsi="Arial"/>
      <w:b/>
      <w:sz w:val="24"/>
      <w:szCs w:val="24"/>
      <w:lang w:eastAsia="en-US"/>
    </w:rPr>
  </w:style>
  <w:style w:type="paragraph" w:customStyle="1" w:styleId="PSRIndentedParagraph">
    <w:name w:val="PSR Indented Paragraph"/>
    <w:basedOn w:val="Normal"/>
    <w:link w:val="PSRIndentedParagraphChar"/>
    <w:qFormat/>
    <w:rsid w:val="00FC1C78"/>
    <w:pPr>
      <w:spacing w:after="240"/>
      <w:ind w:left="357"/>
    </w:pPr>
    <w:rPr>
      <w:rFonts w:ascii="Arial" w:hAnsi="Arial"/>
    </w:rPr>
  </w:style>
  <w:style w:type="character" w:customStyle="1" w:styleId="PSRIndentedParagraphChar">
    <w:name w:val="PSR Indented Paragraph Char"/>
    <w:basedOn w:val="DefaultParagraphFont"/>
    <w:link w:val="PSRIndentedParagraph"/>
    <w:rsid w:val="00FC1C78"/>
    <w:rPr>
      <w:rFonts w:ascii="Arial" w:hAnsi="Arial"/>
      <w:sz w:val="24"/>
      <w:lang w:eastAsia="en-US"/>
    </w:rPr>
  </w:style>
  <w:style w:type="paragraph" w:customStyle="1" w:styleId="PSRPrivateandConfidential">
    <w:name w:val="PSR Private and Confidential"/>
    <w:basedOn w:val="PSRParagraph"/>
    <w:link w:val="PSRPrivateandConfidentialChar"/>
    <w:qFormat/>
    <w:rsid w:val="00330578"/>
    <w:pPr>
      <w:spacing w:before="360"/>
    </w:pPr>
  </w:style>
  <w:style w:type="character" w:customStyle="1" w:styleId="PSRPrivateandConfidentialChar">
    <w:name w:val="PSR Private and Confidential Char"/>
    <w:basedOn w:val="PSRParagraphChar"/>
    <w:link w:val="PSRPrivateandConfidential"/>
    <w:rsid w:val="00330578"/>
    <w:rPr>
      <w:rFonts w:ascii="Arial" w:hAnsi="Arial"/>
      <w:sz w:val="24"/>
      <w:lang w:eastAsia="en-US"/>
    </w:rPr>
  </w:style>
  <w:style w:type="character" w:customStyle="1" w:styleId="Heading1Char">
    <w:name w:val="Heading 1 Char"/>
    <w:link w:val="Heading1"/>
    <w:rsid w:val="009F6E9A"/>
    <w:rPr>
      <w:rFonts w:ascii="Arial" w:hAnsi="Arial"/>
      <w:b/>
      <w:bCs/>
      <w:sz w:val="24"/>
      <w:lang w:val="en-US" w:eastAsia="en-US"/>
    </w:rPr>
  </w:style>
  <w:style w:type="paragraph" w:styleId="NormalWeb">
    <w:name w:val="Normal (Web)"/>
    <w:basedOn w:val="Normal"/>
    <w:rsid w:val="009F6E9A"/>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notetext">
    <w:name w:val="note(text)"/>
    <w:aliases w:val="n"/>
    <w:uiPriority w:val="99"/>
    <w:rsid w:val="009F6E9A"/>
    <w:pPr>
      <w:spacing w:before="122" w:line="198" w:lineRule="exact"/>
      <w:ind w:left="1985" w:hanging="851"/>
    </w:pPr>
    <w:rPr>
      <w:sz w:val="18"/>
      <w:szCs w:val="24"/>
    </w:rPr>
  </w:style>
  <w:style w:type="paragraph" w:customStyle="1" w:styleId="Definition">
    <w:name w:val="Definition"/>
    <w:aliases w:val="dd"/>
    <w:basedOn w:val="Subsection"/>
    <w:uiPriority w:val="99"/>
    <w:rsid w:val="009F6E9A"/>
    <w:pPr>
      <w:tabs>
        <w:tab w:val="clear" w:pos="1021"/>
      </w:tabs>
      <w:autoSpaceDE/>
      <w:autoSpaceDN/>
      <w:spacing w:line="240" w:lineRule="auto"/>
      <w:ind w:firstLine="0"/>
    </w:pPr>
    <w:rPr>
      <w:rFonts w:ascii="Times New Roman" w:hAnsi="Times New Roman"/>
      <w:szCs w:val="24"/>
      <w:lang w:eastAsia="en-AU"/>
    </w:rPr>
  </w:style>
  <w:style w:type="paragraph" w:customStyle="1" w:styleId="paragraphsub">
    <w:name w:val="paragraph(sub)"/>
    <w:aliases w:val="aa"/>
    <w:basedOn w:val="indenta"/>
    <w:uiPriority w:val="99"/>
    <w:rsid w:val="009F6E9A"/>
    <w:pPr>
      <w:tabs>
        <w:tab w:val="clear" w:pos="1531"/>
        <w:tab w:val="right" w:pos="1985"/>
      </w:tabs>
      <w:autoSpaceDE/>
      <w:autoSpaceDN/>
      <w:spacing w:line="240" w:lineRule="auto"/>
      <w:ind w:left="2098" w:hanging="2098"/>
    </w:pPr>
    <w:rPr>
      <w:rFonts w:ascii="Times New Roman" w:hAnsi="Times New Roman"/>
      <w:szCs w:val="24"/>
      <w:lang w:eastAsia="en-AU"/>
    </w:rPr>
  </w:style>
  <w:style w:type="paragraph" w:styleId="BodyText">
    <w:name w:val="Body Text"/>
    <w:basedOn w:val="Normal"/>
    <w:link w:val="BodyTextChar"/>
    <w:semiHidden/>
    <w:unhideWhenUsed/>
    <w:rsid w:val="00A71B2E"/>
    <w:pPr>
      <w:spacing w:after="120"/>
    </w:pPr>
  </w:style>
  <w:style w:type="character" w:customStyle="1" w:styleId="BodyTextChar">
    <w:name w:val="Body Text Char"/>
    <w:basedOn w:val="DefaultParagraphFont"/>
    <w:link w:val="BodyText"/>
    <w:semiHidden/>
    <w:rsid w:val="00A71B2E"/>
    <w:rPr>
      <w:rFonts w:ascii="Times" w:hAnsi="Times"/>
      <w:sz w:val="24"/>
      <w:lang w:eastAsia="en-US"/>
    </w:rPr>
  </w:style>
  <w:style w:type="paragraph" w:styleId="ListParagraph">
    <w:name w:val="List Paragraph"/>
    <w:basedOn w:val="Normal"/>
    <w:uiPriority w:val="1"/>
    <w:qFormat/>
    <w:rsid w:val="00E0014E"/>
    <w:pPr>
      <w:ind w:left="720"/>
      <w:contextualSpacing/>
    </w:pPr>
  </w:style>
  <w:style w:type="paragraph" w:styleId="NoSpacing">
    <w:name w:val="No Spacing"/>
    <w:uiPriority w:val="1"/>
    <w:qFormat/>
    <w:rsid w:val="0075756F"/>
    <w:rPr>
      <w:rFonts w:asciiTheme="minorHAnsi" w:eastAsiaTheme="minorHAnsi" w:hAnsiTheme="minorHAnsi" w:cstheme="minorBidi"/>
      <w:sz w:val="22"/>
      <w:szCs w:val="22"/>
      <w:lang w:eastAsia="en-US"/>
    </w:rPr>
  </w:style>
  <w:style w:type="paragraph" w:styleId="Revision">
    <w:name w:val="Revision"/>
    <w:hidden/>
    <w:uiPriority w:val="99"/>
    <w:semiHidden/>
    <w:rsid w:val="00E10A0F"/>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2557">
      <w:bodyDiv w:val="1"/>
      <w:marLeft w:val="0"/>
      <w:marRight w:val="0"/>
      <w:marTop w:val="0"/>
      <w:marBottom w:val="0"/>
      <w:divBdr>
        <w:top w:val="none" w:sz="0" w:space="0" w:color="auto"/>
        <w:left w:val="none" w:sz="0" w:space="0" w:color="auto"/>
        <w:bottom w:val="none" w:sz="0" w:space="0" w:color="auto"/>
        <w:right w:val="none" w:sz="0" w:space="0" w:color="auto"/>
      </w:divBdr>
      <w:divsChild>
        <w:div w:id="557861366">
          <w:marLeft w:val="0"/>
          <w:marRight w:val="0"/>
          <w:marTop w:val="0"/>
          <w:marBottom w:val="0"/>
          <w:divBdr>
            <w:top w:val="none" w:sz="0" w:space="0" w:color="auto"/>
            <w:left w:val="none" w:sz="0" w:space="0" w:color="auto"/>
            <w:bottom w:val="none" w:sz="0" w:space="0" w:color="auto"/>
            <w:right w:val="none" w:sz="0" w:space="0" w:color="auto"/>
          </w:divBdr>
        </w:div>
        <w:div w:id="613555024">
          <w:marLeft w:val="0"/>
          <w:marRight w:val="0"/>
          <w:marTop w:val="0"/>
          <w:marBottom w:val="0"/>
          <w:divBdr>
            <w:top w:val="none" w:sz="0" w:space="0" w:color="auto"/>
            <w:left w:val="none" w:sz="0" w:space="0" w:color="auto"/>
            <w:bottom w:val="none" w:sz="0" w:space="0" w:color="auto"/>
            <w:right w:val="none" w:sz="0" w:space="0" w:color="auto"/>
          </w:divBdr>
        </w:div>
        <w:div w:id="1398019611">
          <w:marLeft w:val="0"/>
          <w:marRight w:val="0"/>
          <w:marTop w:val="0"/>
          <w:marBottom w:val="0"/>
          <w:divBdr>
            <w:top w:val="none" w:sz="0" w:space="0" w:color="auto"/>
            <w:left w:val="none" w:sz="0" w:space="0" w:color="auto"/>
            <w:bottom w:val="none" w:sz="0" w:space="0" w:color="auto"/>
            <w:right w:val="none" w:sz="0" w:space="0" w:color="auto"/>
          </w:divBdr>
        </w:div>
        <w:div w:id="1701205147">
          <w:marLeft w:val="0"/>
          <w:marRight w:val="0"/>
          <w:marTop w:val="0"/>
          <w:marBottom w:val="0"/>
          <w:divBdr>
            <w:top w:val="none" w:sz="0" w:space="0" w:color="auto"/>
            <w:left w:val="none" w:sz="0" w:space="0" w:color="auto"/>
            <w:bottom w:val="none" w:sz="0" w:space="0" w:color="auto"/>
            <w:right w:val="none" w:sz="0" w:space="0" w:color="auto"/>
          </w:divBdr>
        </w:div>
      </w:divsChild>
    </w:div>
    <w:div w:id="189878062">
      <w:bodyDiv w:val="1"/>
      <w:marLeft w:val="0"/>
      <w:marRight w:val="0"/>
      <w:marTop w:val="0"/>
      <w:marBottom w:val="0"/>
      <w:divBdr>
        <w:top w:val="none" w:sz="0" w:space="0" w:color="auto"/>
        <w:left w:val="none" w:sz="0" w:space="0" w:color="auto"/>
        <w:bottom w:val="none" w:sz="0" w:space="0" w:color="auto"/>
        <w:right w:val="none" w:sz="0" w:space="0" w:color="auto"/>
      </w:divBdr>
    </w:div>
    <w:div w:id="349986894">
      <w:bodyDiv w:val="1"/>
      <w:marLeft w:val="0"/>
      <w:marRight w:val="0"/>
      <w:marTop w:val="0"/>
      <w:marBottom w:val="0"/>
      <w:divBdr>
        <w:top w:val="none" w:sz="0" w:space="0" w:color="auto"/>
        <w:left w:val="none" w:sz="0" w:space="0" w:color="auto"/>
        <w:bottom w:val="none" w:sz="0" w:space="0" w:color="auto"/>
        <w:right w:val="none" w:sz="0" w:space="0" w:color="auto"/>
      </w:divBdr>
    </w:div>
    <w:div w:id="351880174">
      <w:bodyDiv w:val="1"/>
      <w:marLeft w:val="0"/>
      <w:marRight w:val="0"/>
      <w:marTop w:val="0"/>
      <w:marBottom w:val="0"/>
      <w:divBdr>
        <w:top w:val="none" w:sz="0" w:space="0" w:color="auto"/>
        <w:left w:val="none" w:sz="0" w:space="0" w:color="auto"/>
        <w:bottom w:val="none" w:sz="0" w:space="0" w:color="auto"/>
        <w:right w:val="none" w:sz="0" w:space="0" w:color="auto"/>
      </w:divBdr>
    </w:div>
    <w:div w:id="386537184">
      <w:bodyDiv w:val="1"/>
      <w:marLeft w:val="0"/>
      <w:marRight w:val="0"/>
      <w:marTop w:val="0"/>
      <w:marBottom w:val="0"/>
      <w:divBdr>
        <w:top w:val="none" w:sz="0" w:space="0" w:color="auto"/>
        <w:left w:val="none" w:sz="0" w:space="0" w:color="auto"/>
        <w:bottom w:val="none" w:sz="0" w:space="0" w:color="auto"/>
        <w:right w:val="none" w:sz="0" w:space="0" w:color="auto"/>
      </w:divBdr>
    </w:div>
    <w:div w:id="416558559">
      <w:bodyDiv w:val="1"/>
      <w:marLeft w:val="0"/>
      <w:marRight w:val="0"/>
      <w:marTop w:val="0"/>
      <w:marBottom w:val="0"/>
      <w:divBdr>
        <w:top w:val="none" w:sz="0" w:space="0" w:color="auto"/>
        <w:left w:val="none" w:sz="0" w:space="0" w:color="auto"/>
        <w:bottom w:val="none" w:sz="0" w:space="0" w:color="auto"/>
        <w:right w:val="none" w:sz="0" w:space="0" w:color="auto"/>
      </w:divBdr>
    </w:div>
    <w:div w:id="696196139">
      <w:bodyDiv w:val="1"/>
      <w:marLeft w:val="0"/>
      <w:marRight w:val="0"/>
      <w:marTop w:val="0"/>
      <w:marBottom w:val="0"/>
      <w:divBdr>
        <w:top w:val="none" w:sz="0" w:space="0" w:color="auto"/>
        <w:left w:val="none" w:sz="0" w:space="0" w:color="auto"/>
        <w:bottom w:val="none" w:sz="0" w:space="0" w:color="auto"/>
        <w:right w:val="none" w:sz="0" w:space="0" w:color="auto"/>
      </w:divBdr>
    </w:div>
    <w:div w:id="713500227">
      <w:bodyDiv w:val="1"/>
      <w:marLeft w:val="0"/>
      <w:marRight w:val="0"/>
      <w:marTop w:val="0"/>
      <w:marBottom w:val="0"/>
      <w:divBdr>
        <w:top w:val="none" w:sz="0" w:space="0" w:color="auto"/>
        <w:left w:val="none" w:sz="0" w:space="0" w:color="auto"/>
        <w:bottom w:val="none" w:sz="0" w:space="0" w:color="auto"/>
        <w:right w:val="none" w:sz="0" w:space="0" w:color="auto"/>
      </w:divBdr>
    </w:div>
    <w:div w:id="746221407">
      <w:bodyDiv w:val="1"/>
      <w:marLeft w:val="0"/>
      <w:marRight w:val="0"/>
      <w:marTop w:val="0"/>
      <w:marBottom w:val="0"/>
      <w:divBdr>
        <w:top w:val="none" w:sz="0" w:space="0" w:color="auto"/>
        <w:left w:val="none" w:sz="0" w:space="0" w:color="auto"/>
        <w:bottom w:val="none" w:sz="0" w:space="0" w:color="auto"/>
        <w:right w:val="none" w:sz="0" w:space="0" w:color="auto"/>
      </w:divBdr>
    </w:div>
    <w:div w:id="888878913">
      <w:bodyDiv w:val="1"/>
      <w:marLeft w:val="0"/>
      <w:marRight w:val="0"/>
      <w:marTop w:val="0"/>
      <w:marBottom w:val="0"/>
      <w:divBdr>
        <w:top w:val="none" w:sz="0" w:space="0" w:color="auto"/>
        <w:left w:val="none" w:sz="0" w:space="0" w:color="auto"/>
        <w:bottom w:val="none" w:sz="0" w:space="0" w:color="auto"/>
        <w:right w:val="none" w:sz="0" w:space="0" w:color="auto"/>
      </w:divBdr>
    </w:div>
    <w:div w:id="1043408519">
      <w:bodyDiv w:val="1"/>
      <w:marLeft w:val="0"/>
      <w:marRight w:val="0"/>
      <w:marTop w:val="0"/>
      <w:marBottom w:val="0"/>
      <w:divBdr>
        <w:top w:val="none" w:sz="0" w:space="0" w:color="auto"/>
        <w:left w:val="none" w:sz="0" w:space="0" w:color="auto"/>
        <w:bottom w:val="none" w:sz="0" w:space="0" w:color="auto"/>
        <w:right w:val="none" w:sz="0" w:space="0" w:color="auto"/>
      </w:divBdr>
    </w:div>
    <w:div w:id="1076323230">
      <w:bodyDiv w:val="1"/>
      <w:marLeft w:val="0"/>
      <w:marRight w:val="0"/>
      <w:marTop w:val="0"/>
      <w:marBottom w:val="0"/>
      <w:divBdr>
        <w:top w:val="none" w:sz="0" w:space="0" w:color="auto"/>
        <w:left w:val="none" w:sz="0" w:space="0" w:color="auto"/>
        <w:bottom w:val="none" w:sz="0" w:space="0" w:color="auto"/>
        <w:right w:val="none" w:sz="0" w:space="0" w:color="auto"/>
      </w:divBdr>
    </w:div>
    <w:div w:id="1232930837">
      <w:bodyDiv w:val="1"/>
      <w:marLeft w:val="0"/>
      <w:marRight w:val="0"/>
      <w:marTop w:val="0"/>
      <w:marBottom w:val="0"/>
      <w:divBdr>
        <w:top w:val="none" w:sz="0" w:space="0" w:color="auto"/>
        <w:left w:val="none" w:sz="0" w:space="0" w:color="auto"/>
        <w:bottom w:val="none" w:sz="0" w:space="0" w:color="auto"/>
        <w:right w:val="none" w:sz="0" w:space="0" w:color="auto"/>
      </w:divBdr>
    </w:div>
    <w:div w:id="1247114458">
      <w:bodyDiv w:val="1"/>
      <w:marLeft w:val="0"/>
      <w:marRight w:val="0"/>
      <w:marTop w:val="0"/>
      <w:marBottom w:val="0"/>
      <w:divBdr>
        <w:top w:val="none" w:sz="0" w:space="0" w:color="auto"/>
        <w:left w:val="none" w:sz="0" w:space="0" w:color="auto"/>
        <w:bottom w:val="none" w:sz="0" w:space="0" w:color="auto"/>
        <w:right w:val="none" w:sz="0" w:space="0" w:color="auto"/>
      </w:divBdr>
    </w:div>
    <w:div w:id="1335299127">
      <w:bodyDiv w:val="1"/>
      <w:marLeft w:val="0"/>
      <w:marRight w:val="0"/>
      <w:marTop w:val="0"/>
      <w:marBottom w:val="0"/>
      <w:divBdr>
        <w:top w:val="none" w:sz="0" w:space="0" w:color="auto"/>
        <w:left w:val="none" w:sz="0" w:space="0" w:color="auto"/>
        <w:bottom w:val="none" w:sz="0" w:space="0" w:color="auto"/>
        <w:right w:val="none" w:sz="0" w:space="0" w:color="auto"/>
      </w:divBdr>
    </w:div>
    <w:div w:id="1449885244">
      <w:bodyDiv w:val="1"/>
      <w:marLeft w:val="0"/>
      <w:marRight w:val="0"/>
      <w:marTop w:val="0"/>
      <w:marBottom w:val="0"/>
      <w:divBdr>
        <w:top w:val="none" w:sz="0" w:space="0" w:color="auto"/>
        <w:left w:val="none" w:sz="0" w:space="0" w:color="auto"/>
        <w:bottom w:val="none" w:sz="0" w:space="0" w:color="auto"/>
        <w:right w:val="none" w:sz="0" w:space="0" w:color="auto"/>
      </w:divBdr>
    </w:div>
    <w:div w:id="1552573300">
      <w:bodyDiv w:val="1"/>
      <w:marLeft w:val="0"/>
      <w:marRight w:val="0"/>
      <w:marTop w:val="0"/>
      <w:marBottom w:val="0"/>
      <w:divBdr>
        <w:top w:val="none" w:sz="0" w:space="0" w:color="auto"/>
        <w:left w:val="none" w:sz="0" w:space="0" w:color="auto"/>
        <w:bottom w:val="none" w:sz="0" w:space="0" w:color="auto"/>
        <w:right w:val="none" w:sz="0" w:space="0" w:color="auto"/>
      </w:divBdr>
    </w:div>
    <w:div w:id="1773863643">
      <w:bodyDiv w:val="1"/>
      <w:marLeft w:val="0"/>
      <w:marRight w:val="0"/>
      <w:marTop w:val="0"/>
      <w:marBottom w:val="0"/>
      <w:divBdr>
        <w:top w:val="none" w:sz="0" w:space="0" w:color="auto"/>
        <w:left w:val="none" w:sz="0" w:space="0" w:color="auto"/>
        <w:bottom w:val="none" w:sz="0" w:space="0" w:color="auto"/>
        <w:right w:val="none" w:sz="0" w:space="0" w:color="auto"/>
      </w:divBdr>
    </w:div>
    <w:div w:id="1800952204">
      <w:bodyDiv w:val="1"/>
      <w:marLeft w:val="0"/>
      <w:marRight w:val="0"/>
      <w:marTop w:val="0"/>
      <w:marBottom w:val="0"/>
      <w:divBdr>
        <w:top w:val="none" w:sz="0" w:space="0" w:color="auto"/>
        <w:left w:val="none" w:sz="0" w:space="0" w:color="auto"/>
        <w:bottom w:val="none" w:sz="0" w:space="0" w:color="auto"/>
        <w:right w:val="none" w:sz="0" w:space="0" w:color="auto"/>
      </w:divBdr>
    </w:div>
    <w:div w:id="1819372536">
      <w:bodyDiv w:val="1"/>
      <w:marLeft w:val="0"/>
      <w:marRight w:val="0"/>
      <w:marTop w:val="0"/>
      <w:marBottom w:val="0"/>
      <w:divBdr>
        <w:top w:val="none" w:sz="0" w:space="0" w:color="auto"/>
        <w:left w:val="none" w:sz="0" w:space="0" w:color="auto"/>
        <w:bottom w:val="none" w:sz="0" w:space="0" w:color="auto"/>
        <w:right w:val="none" w:sz="0" w:space="0" w:color="auto"/>
      </w:divBdr>
    </w:div>
    <w:div w:id="1872645261">
      <w:bodyDiv w:val="1"/>
      <w:marLeft w:val="0"/>
      <w:marRight w:val="0"/>
      <w:marTop w:val="0"/>
      <w:marBottom w:val="0"/>
      <w:divBdr>
        <w:top w:val="none" w:sz="0" w:space="0" w:color="auto"/>
        <w:left w:val="none" w:sz="0" w:space="0" w:color="auto"/>
        <w:bottom w:val="none" w:sz="0" w:space="0" w:color="auto"/>
        <w:right w:val="none" w:sz="0" w:space="0" w:color="auto"/>
      </w:divBdr>
    </w:div>
    <w:div w:id="1893542276">
      <w:bodyDiv w:val="1"/>
      <w:marLeft w:val="0"/>
      <w:marRight w:val="0"/>
      <w:marTop w:val="0"/>
      <w:marBottom w:val="0"/>
      <w:divBdr>
        <w:top w:val="none" w:sz="0" w:space="0" w:color="auto"/>
        <w:left w:val="none" w:sz="0" w:space="0" w:color="auto"/>
        <w:bottom w:val="none" w:sz="0" w:space="0" w:color="auto"/>
        <w:right w:val="none" w:sz="0" w:space="0" w:color="auto"/>
      </w:divBdr>
    </w:div>
    <w:div w:id="1965576634">
      <w:bodyDiv w:val="1"/>
      <w:marLeft w:val="0"/>
      <w:marRight w:val="0"/>
      <w:marTop w:val="0"/>
      <w:marBottom w:val="0"/>
      <w:divBdr>
        <w:top w:val="none" w:sz="0" w:space="0" w:color="auto"/>
        <w:left w:val="none" w:sz="0" w:space="0" w:color="auto"/>
        <w:bottom w:val="none" w:sz="0" w:space="0" w:color="auto"/>
        <w:right w:val="none" w:sz="0" w:space="0" w:color="auto"/>
      </w:divBdr>
    </w:div>
    <w:div w:id="2019579490">
      <w:bodyDiv w:val="1"/>
      <w:marLeft w:val="0"/>
      <w:marRight w:val="0"/>
      <w:marTop w:val="0"/>
      <w:marBottom w:val="0"/>
      <w:divBdr>
        <w:top w:val="none" w:sz="0" w:space="0" w:color="auto"/>
        <w:left w:val="none" w:sz="0" w:space="0" w:color="auto"/>
        <w:bottom w:val="none" w:sz="0" w:space="0" w:color="auto"/>
        <w:right w:val="none" w:sz="0" w:space="0" w:color="auto"/>
      </w:divBdr>
    </w:div>
    <w:div w:id="20255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psr.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AAB3-FC96-49BE-93D3-0DB162CE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2727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Professional Services Review</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 Horne</cp:lastModifiedBy>
  <cp:revision>3</cp:revision>
  <cp:lastPrinted>2020-11-06T00:42:00Z</cp:lastPrinted>
  <dcterms:created xsi:type="dcterms:W3CDTF">2020-11-06T02:42:00Z</dcterms:created>
  <dcterms:modified xsi:type="dcterms:W3CDTF">2020-11-06T02:44:00Z</dcterms:modified>
</cp:coreProperties>
</file>