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42" w:rsidRPr="00323E1C" w:rsidRDefault="002B70A0" w:rsidP="00323E1C">
      <w:pPr>
        <w:pStyle w:val="Heading1"/>
      </w:pPr>
      <w:bookmarkStart w:id="0" w:name="_GoBack"/>
      <w:bookmarkEnd w:id="0"/>
      <w:r w:rsidRPr="00323E1C">
        <w:t>Professional Services Review</w:t>
      </w:r>
    </w:p>
    <w:p w:rsidR="00AC21A7" w:rsidRPr="00585489" w:rsidRDefault="00AC21A7" w:rsidP="00585489">
      <w:pPr>
        <w:pStyle w:val="EntitySubtitle"/>
      </w:pPr>
      <w:r w:rsidRPr="00585489">
        <w:t>Entity Resources and</w:t>
      </w:r>
      <w:r w:rsidRPr="00585489">
        <w:br/>
        <w:t>Planned Performance</w:t>
      </w:r>
    </w:p>
    <w:p w:rsidR="00031EBE" w:rsidRPr="00FA0487" w:rsidRDefault="002D6A42" w:rsidP="00031EBE">
      <w:pPr>
        <w:rPr>
          <w:color w:val="000000" w:themeColor="text1"/>
        </w:rPr>
      </w:pPr>
      <w:r w:rsidRPr="00CD6C5C">
        <w:rPr>
          <w:color w:val="000000" w:themeColor="text1"/>
        </w:rPr>
        <w:br w:type="page"/>
      </w:r>
    </w:p>
    <w:p w:rsidR="00031EBE" w:rsidRDefault="00031EBE" w:rsidP="00031EBE">
      <w:pPr>
        <w:rPr>
          <w:lang w:eastAsia="en-US"/>
        </w:rPr>
      </w:pPr>
    </w:p>
    <w:p w:rsidR="002D6A42" w:rsidRPr="00031EBE" w:rsidRDefault="002D6A42" w:rsidP="00031EBE">
      <w:pPr>
        <w:rPr>
          <w:lang w:eastAsia="en-US"/>
        </w:rPr>
        <w:sectPr w:rsidR="002D6A42" w:rsidRPr="00031EBE" w:rsidSect="005848AC">
          <w:headerReference w:type="default" r:id="rId8"/>
          <w:footerReference w:type="even" r:id="rId9"/>
          <w:footerReference w:type="default" r:id="rId10"/>
          <w:headerReference w:type="first" r:id="rId11"/>
          <w:footerReference w:type="first" r:id="rId12"/>
          <w:pgSz w:w="11906" w:h="16838" w:code="9"/>
          <w:pgMar w:top="7053" w:right="2268" w:bottom="2126" w:left="2268" w:header="1899" w:footer="1899" w:gutter="0"/>
          <w:pgNumType w:start="403"/>
          <w:cols w:space="708"/>
          <w:titlePg/>
          <w:docGrid w:linePitch="360"/>
        </w:sectPr>
      </w:pPr>
    </w:p>
    <w:p w:rsidR="003F32B8" w:rsidRPr="00323E1C" w:rsidRDefault="002B70A0" w:rsidP="00323E1C">
      <w:pPr>
        <w:pStyle w:val="Heading1"/>
      </w:pPr>
      <w:r w:rsidRPr="00323E1C">
        <w:lastRenderedPageBreak/>
        <w:t>Professional Services Review</w:t>
      </w:r>
    </w:p>
    <w:p w:rsidR="00CE0CC2" w:rsidRDefault="00E46144">
      <w:pPr>
        <w:pStyle w:val="TOC1"/>
        <w:rPr>
          <w:rFonts w:asciiTheme="minorHAnsi" w:eastAsiaTheme="minorEastAsia" w:hAnsiTheme="minorHAnsi" w:cstheme="minorBidi"/>
          <w:b w:val="0"/>
          <w:noProof/>
          <w:color w:val="auto"/>
          <w:sz w:val="22"/>
          <w:szCs w:val="22"/>
        </w:rPr>
      </w:pPr>
      <w:r w:rsidRPr="00CD6C5C">
        <w:rPr>
          <w:color w:val="000000" w:themeColor="text1"/>
        </w:rPr>
        <w:fldChar w:fldCharType="begin"/>
      </w:r>
      <w:r w:rsidRPr="00CD6C5C">
        <w:rPr>
          <w:color w:val="000000" w:themeColor="text1"/>
        </w:rPr>
        <w:instrText xml:space="preserve"> TOC \h \z \t "Heading 2,1,Heading 3,2" </w:instrText>
      </w:r>
      <w:r w:rsidRPr="00CD6C5C">
        <w:rPr>
          <w:color w:val="000000" w:themeColor="text1"/>
        </w:rPr>
        <w:fldChar w:fldCharType="separate"/>
      </w:r>
      <w:hyperlink w:anchor="_Toc4874677" w:history="1">
        <w:r w:rsidR="00CE0CC2" w:rsidRPr="005A3B40">
          <w:rPr>
            <w:rStyle w:val="Hyperlink"/>
            <w:noProof/>
          </w:rPr>
          <w:t>Section 1: Entity Overview and Resources</w:t>
        </w:r>
        <w:r w:rsidR="00CE0CC2">
          <w:rPr>
            <w:noProof/>
            <w:webHidden/>
          </w:rPr>
          <w:tab/>
        </w:r>
        <w:r w:rsidR="00CE0CC2">
          <w:rPr>
            <w:noProof/>
            <w:webHidden/>
          </w:rPr>
          <w:fldChar w:fldCharType="begin"/>
        </w:r>
        <w:r w:rsidR="00CE0CC2">
          <w:rPr>
            <w:noProof/>
            <w:webHidden/>
          </w:rPr>
          <w:instrText xml:space="preserve"> PAGEREF _Toc4874677 \h </w:instrText>
        </w:r>
        <w:r w:rsidR="00CE0CC2">
          <w:rPr>
            <w:noProof/>
            <w:webHidden/>
          </w:rPr>
        </w:r>
        <w:r w:rsidR="00CE0CC2">
          <w:rPr>
            <w:noProof/>
            <w:webHidden/>
          </w:rPr>
          <w:fldChar w:fldCharType="separate"/>
        </w:r>
        <w:r w:rsidR="005848AC">
          <w:rPr>
            <w:noProof/>
            <w:webHidden/>
          </w:rPr>
          <w:t>406</w:t>
        </w:r>
        <w:r w:rsidR="00CE0CC2">
          <w:rPr>
            <w:noProof/>
            <w:webHidden/>
          </w:rPr>
          <w:fldChar w:fldCharType="end"/>
        </w:r>
      </w:hyperlink>
    </w:p>
    <w:p w:rsidR="00CE0CC2" w:rsidRDefault="00C11C8B">
      <w:pPr>
        <w:pStyle w:val="TOC2"/>
        <w:tabs>
          <w:tab w:val="left" w:pos="660"/>
          <w:tab w:val="right" w:leader="dot" w:pos="7360"/>
        </w:tabs>
        <w:rPr>
          <w:rFonts w:asciiTheme="minorHAnsi" w:eastAsiaTheme="minorEastAsia" w:hAnsiTheme="minorHAnsi" w:cstheme="minorBidi"/>
          <w:noProof/>
          <w:color w:val="auto"/>
          <w:sz w:val="22"/>
          <w:szCs w:val="22"/>
        </w:rPr>
      </w:pPr>
      <w:hyperlink w:anchor="_Toc4874678" w:history="1">
        <w:r w:rsidR="00CE0CC2" w:rsidRPr="005A3B40">
          <w:rPr>
            <w:rStyle w:val="Hyperlink"/>
            <w:noProof/>
          </w:rPr>
          <w:t>1.1</w:t>
        </w:r>
        <w:r w:rsidR="00CE0CC2">
          <w:rPr>
            <w:rFonts w:asciiTheme="minorHAnsi" w:eastAsiaTheme="minorEastAsia" w:hAnsiTheme="minorHAnsi" w:cstheme="minorBidi"/>
            <w:noProof/>
            <w:color w:val="auto"/>
            <w:sz w:val="22"/>
            <w:szCs w:val="22"/>
          </w:rPr>
          <w:tab/>
        </w:r>
        <w:r w:rsidR="00CE0CC2" w:rsidRPr="005A3B40">
          <w:rPr>
            <w:rStyle w:val="Hyperlink"/>
            <w:noProof/>
          </w:rPr>
          <w:t>Strategic Direction Statement</w:t>
        </w:r>
        <w:r w:rsidR="00CE0CC2">
          <w:rPr>
            <w:noProof/>
            <w:webHidden/>
          </w:rPr>
          <w:tab/>
        </w:r>
        <w:r w:rsidR="00CE0CC2">
          <w:rPr>
            <w:noProof/>
            <w:webHidden/>
          </w:rPr>
          <w:fldChar w:fldCharType="begin"/>
        </w:r>
        <w:r w:rsidR="00CE0CC2">
          <w:rPr>
            <w:noProof/>
            <w:webHidden/>
          </w:rPr>
          <w:instrText xml:space="preserve"> PAGEREF _Toc4874678 \h </w:instrText>
        </w:r>
        <w:r w:rsidR="00CE0CC2">
          <w:rPr>
            <w:noProof/>
            <w:webHidden/>
          </w:rPr>
        </w:r>
        <w:r w:rsidR="00CE0CC2">
          <w:rPr>
            <w:noProof/>
            <w:webHidden/>
          </w:rPr>
          <w:fldChar w:fldCharType="separate"/>
        </w:r>
        <w:r w:rsidR="005848AC">
          <w:rPr>
            <w:noProof/>
            <w:webHidden/>
          </w:rPr>
          <w:t>406</w:t>
        </w:r>
        <w:r w:rsidR="00CE0CC2">
          <w:rPr>
            <w:noProof/>
            <w:webHidden/>
          </w:rPr>
          <w:fldChar w:fldCharType="end"/>
        </w:r>
      </w:hyperlink>
    </w:p>
    <w:p w:rsidR="00CE0CC2" w:rsidRDefault="00C11C8B">
      <w:pPr>
        <w:pStyle w:val="TOC2"/>
        <w:tabs>
          <w:tab w:val="left" w:pos="660"/>
          <w:tab w:val="right" w:leader="dot" w:pos="7360"/>
        </w:tabs>
        <w:rPr>
          <w:rFonts w:asciiTheme="minorHAnsi" w:eastAsiaTheme="minorEastAsia" w:hAnsiTheme="minorHAnsi" w:cstheme="minorBidi"/>
          <w:noProof/>
          <w:color w:val="auto"/>
          <w:sz w:val="22"/>
          <w:szCs w:val="22"/>
        </w:rPr>
      </w:pPr>
      <w:hyperlink w:anchor="_Toc4874679" w:history="1">
        <w:r w:rsidR="00CE0CC2" w:rsidRPr="005A3B40">
          <w:rPr>
            <w:rStyle w:val="Hyperlink"/>
            <w:noProof/>
          </w:rPr>
          <w:t>1.2</w:t>
        </w:r>
        <w:r w:rsidR="00CE0CC2">
          <w:rPr>
            <w:rFonts w:asciiTheme="minorHAnsi" w:eastAsiaTheme="minorEastAsia" w:hAnsiTheme="minorHAnsi" w:cstheme="minorBidi"/>
            <w:noProof/>
            <w:color w:val="auto"/>
            <w:sz w:val="22"/>
            <w:szCs w:val="22"/>
          </w:rPr>
          <w:tab/>
        </w:r>
        <w:r w:rsidR="00CE0CC2" w:rsidRPr="005A3B40">
          <w:rPr>
            <w:rStyle w:val="Hyperlink"/>
            <w:noProof/>
          </w:rPr>
          <w:t>Entity Resource Statement</w:t>
        </w:r>
        <w:r w:rsidR="00CE0CC2">
          <w:rPr>
            <w:noProof/>
            <w:webHidden/>
          </w:rPr>
          <w:tab/>
        </w:r>
        <w:r w:rsidR="00CE0CC2">
          <w:rPr>
            <w:noProof/>
            <w:webHidden/>
          </w:rPr>
          <w:fldChar w:fldCharType="begin"/>
        </w:r>
        <w:r w:rsidR="00CE0CC2">
          <w:rPr>
            <w:noProof/>
            <w:webHidden/>
          </w:rPr>
          <w:instrText xml:space="preserve"> PAGEREF _Toc4874679 \h </w:instrText>
        </w:r>
        <w:r w:rsidR="00CE0CC2">
          <w:rPr>
            <w:noProof/>
            <w:webHidden/>
          </w:rPr>
        </w:r>
        <w:r w:rsidR="00CE0CC2">
          <w:rPr>
            <w:noProof/>
            <w:webHidden/>
          </w:rPr>
          <w:fldChar w:fldCharType="separate"/>
        </w:r>
        <w:r w:rsidR="005848AC">
          <w:rPr>
            <w:noProof/>
            <w:webHidden/>
          </w:rPr>
          <w:t>407</w:t>
        </w:r>
        <w:r w:rsidR="00CE0CC2">
          <w:rPr>
            <w:noProof/>
            <w:webHidden/>
          </w:rPr>
          <w:fldChar w:fldCharType="end"/>
        </w:r>
      </w:hyperlink>
    </w:p>
    <w:p w:rsidR="00CE0CC2" w:rsidRDefault="00C11C8B">
      <w:pPr>
        <w:pStyle w:val="TOC2"/>
        <w:tabs>
          <w:tab w:val="left" w:pos="660"/>
          <w:tab w:val="right" w:leader="dot" w:pos="7360"/>
        </w:tabs>
        <w:rPr>
          <w:rFonts w:asciiTheme="minorHAnsi" w:eastAsiaTheme="minorEastAsia" w:hAnsiTheme="minorHAnsi" w:cstheme="minorBidi"/>
          <w:noProof/>
          <w:color w:val="auto"/>
          <w:sz w:val="22"/>
          <w:szCs w:val="22"/>
        </w:rPr>
      </w:pPr>
      <w:hyperlink w:anchor="_Toc4874680" w:history="1">
        <w:r w:rsidR="00CE0CC2" w:rsidRPr="005A3B40">
          <w:rPr>
            <w:rStyle w:val="Hyperlink"/>
            <w:noProof/>
          </w:rPr>
          <w:t>1.3</w:t>
        </w:r>
        <w:r w:rsidR="00CE0CC2">
          <w:rPr>
            <w:rFonts w:asciiTheme="minorHAnsi" w:eastAsiaTheme="minorEastAsia" w:hAnsiTheme="minorHAnsi" w:cstheme="minorBidi"/>
            <w:noProof/>
            <w:color w:val="auto"/>
            <w:sz w:val="22"/>
            <w:szCs w:val="22"/>
          </w:rPr>
          <w:tab/>
        </w:r>
        <w:r w:rsidR="00CE0CC2" w:rsidRPr="005A3B40">
          <w:rPr>
            <w:rStyle w:val="Hyperlink"/>
            <w:noProof/>
          </w:rPr>
          <w:t>Budget Measures</w:t>
        </w:r>
        <w:r w:rsidR="00CE0CC2">
          <w:rPr>
            <w:noProof/>
            <w:webHidden/>
          </w:rPr>
          <w:tab/>
        </w:r>
        <w:r w:rsidR="00CE0CC2">
          <w:rPr>
            <w:noProof/>
            <w:webHidden/>
          </w:rPr>
          <w:fldChar w:fldCharType="begin"/>
        </w:r>
        <w:r w:rsidR="00CE0CC2">
          <w:rPr>
            <w:noProof/>
            <w:webHidden/>
          </w:rPr>
          <w:instrText xml:space="preserve"> PAGEREF _Toc4874680 \h </w:instrText>
        </w:r>
        <w:r w:rsidR="00CE0CC2">
          <w:rPr>
            <w:noProof/>
            <w:webHidden/>
          </w:rPr>
        </w:r>
        <w:r w:rsidR="00CE0CC2">
          <w:rPr>
            <w:noProof/>
            <w:webHidden/>
          </w:rPr>
          <w:fldChar w:fldCharType="separate"/>
        </w:r>
        <w:r w:rsidR="005848AC">
          <w:rPr>
            <w:noProof/>
            <w:webHidden/>
          </w:rPr>
          <w:t>408</w:t>
        </w:r>
        <w:r w:rsidR="00CE0CC2">
          <w:rPr>
            <w:noProof/>
            <w:webHidden/>
          </w:rPr>
          <w:fldChar w:fldCharType="end"/>
        </w:r>
      </w:hyperlink>
    </w:p>
    <w:p w:rsidR="00CE0CC2" w:rsidRDefault="00C11C8B">
      <w:pPr>
        <w:pStyle w:val="TOC1"/>
        <w:rPr>
          <w:rFonts w:asciiTheme="minorHAnsi" w:eastAsiaTheme="minorEastAsia" w:hAnsiTheme="minorHAnsi" w:cstheme="minorBidi"/>
          <w:b w:val="0"/>
          <w:noProof/>
          <w:color w:val="auto"/>
          <w:sz w:val="22"/>
          <w:szCs w:val="22"/>
        </w:rPr>
      </w:pPr>
      <w:hyperlink w:anchor="_Toc4874681" w:history="1">
        <w:r w:rsidR="00CE0CC2" w:rsidRPr="005A3B40">
          <w:rPr>
            <w:rStyle w:val="Hyperlink"/>
            <w:noProof/>
          </w:rPr>
          <w:t>Section 2: Outcomes and Planned Performance</w:t>
        </w:r>
        <w:r w:rsidR="00CE0CC2">
          <w:rPr>
            <w:noProof/>
            <w:webHidden/>
          </w:rPr>
          <w:tab/>
        </w:r>
        <w:r w:rsidR="00CE0CC2">
          <w:rPr>
            <w:noProof/>
            <w:webHidden/>
          </w:rPr>
          <w:fldChar w:fldCharType="begin"/>
        </w:r>
        <w:r w:rsidR="00CE0CC2">
          <w:rPr>
            <w:noProof/>
            <w:webHidden/>
          </w:rPr>
          <w:instrText xml:space="preserve"> PAGEREF _Toc4874681 \h </w:instrText>
        </w:r>
        <w:r w:rsidR="00CE0CC2">
          <w:rPr>
            <w:noProof/>
            <w:webHidden/>
          </w:rPr>
        </w:r>
        <w:r w:rsidR="00CE0CC2">
          <w:rPr>
            <w:noProof/>
            <w:webHidden/>
          </w:rPr>
          <w:fldChar w:fldCharType="separate"/>
        </w:r>
        <w:r w:rsidR="005848AC">
          <w:rPr>
            <w:noProof/>
            <w:webHidden/>
          </w:rPr>
          <w:t>409</w:t>
        </w:r>
        <w:r w:rsidR="00CE0CC2">
          <w:rPr>
            <w:noProof/>
            <w:webHidden/>
          </w:rPr>
          <w:fldChar w:fldCharType="end"/>
        </w:r>
      </w:hyperlink>
    </w:p>
    <w:p w:rsidR="00CE0CC2" w:rsidRDefault="00C11C8B">
      <w:pPr>
        <w:pStyle w:val="TOC2"/>
        <w:tabs>
          <w:tab w:val="left" w:pos="660"/>
          <w:tab w:val="right" w:leader="dot" w:pos="7360"/>
        </w:tabs>
        <w:rPr>
          <w:rFonts w:asciiTheme="minorHAnsi" w:eastAsiaTheme="minorEastAsia" w:hAnsiTheme="minorHAnsi" w:cstheme="minorBidi"/>
          <w:noProof/>
          <w:color w:val="auto"/>
          <w:sz w:val="22"/>
          <w:szCs w:val="22"/>
        </w:rPr>
      </w:pPr>
      <w:hyperlink w:anchor="_Toc4874682" w:history="1">
        <w:r w:rsidR="00CE0CC2" w:rsidRPr="005A3B40">
          <w:rPr>
            <w:rStyle w:val="Hyperlink"/>
            <w:noProof/>
          </w:rPr>
          <w:t>2.1</w:t>
        </w:r>
        <w:r w:rsidR="00CE0CC2">
          <w:rPr>
            <w:rFonts w:asciiTheme="minorHAnsi" w:eastAsiaTheme="minorEastAsia" w:hAnsiTheme="minorHAnsi" w:cstheme="minorBidi"/>
            <w:noProof/>
            <w:color w:val="auto"/>
            <w:sz w:val="22"/>
            <w:szCs w:val="22"/>
          </w:rPr>
          <w:tab/>
        </w:r>
        <w:r w:rsidR="00CE0CC2" w:rsidRPr="005A3B40">
          <w:rPr>
            <w:rStyle w:val="Hyperlink"/>
            <w:noProof/>
          </w:rPr>
          <w:t>Budgeted Expenses and Performance</w:t>
        </w:r>
        <w:r w:rsidR="00CE0CC2">
          <w:rPr>
            <w:noProof/>
            <w:webHidden/>
          </w:rPr>
          <w:tab/>
        </w:r>
        <w:r w:rsidR="00CE0CC2">
          <w:rPr>
            <w:noProof/>
            <w:webHidden/>
          </w:rPr>
          <w:fldChar w:fldCharType="begin"/>
        </w:r>
        <w:r w:rsidR="00CE0CC2">
          <w:rPr>
            <w:noProof/>
            <w:webHidden/>
          </w:rPr>
          <w:instrText xml:space="preserve"> PAGEREF _Toc4874682 \h </w:instrText>
        </w:r>
        <w:r w:rsidR="00CE0CC2">
          <w:rPr>
            <w:noProof/>
            <w:webHidden/>
          </w:rPr>
        </w:r>
        <w:r w:rsidR="00CE0CC2">
          <w:rPr>
            <w:noProof/>
            <w:webHidden/>
          </w:rPr>
          <w:fldChar w:fldCharType="separate"/>
        </w:r>
        <w:r w:rsidR="005848AC">
          <w:rPr>
            <w:noProof/>
            <w:webHidden/>
          </w:rPr>
          <w:t>409</w:t>
        </w:r>
        <w:r w:rsidR="00CE0CC2">
          <w:rPr>
            <w:noProof/>
            <w:webHidden/>
          </w:rPr>
          <w:fldChar w:fldCharType="end"/>
        </w:r>
      </w:hyperlink>
    </w:p>
    <w:p w:rsidR="00CE0CC2" w:rsidRDefault="00C11C8B">
      <w:pPr>
        <w:pStyle w:val="TOC1"/>
        <w:rPr>
          <w:rFonts w:asciiTheme="minorHAnsi" w:eastAsiaTheme="minorEastAsia" w:hAnsiTheme="minorHAnsi" w:cstheme="minorBidi"/>
          <w:b w:val="0"/>
          <w:noProof/>
          <w:color w:val="auto"/>
          <w:sz w:val="22"/>
          <w:szCs w:val="22"/>
        </w:rPr>
      </w:pPr>
      <w:hyperlink w:anchor="_Toc4874683" w:history="1">
        <w:r w:rsidR="00CE0CC2" w:rsidRPr="005A3B40">
          <w:rPr>
            <w:rStyle w:val="Hyperlink"/>
            <w:noProof/>
          </w:rPr>
          <w:t>Section 3: Budgeted Financial Statements</w:t>
        </w:r>
        <w:r w:rsidR="00CE0CC2">
          <w:rPr>
            <w:noProof/>
            <w:webHidden/>
          </w:rPr>
          <w:tab/>
        </w:r>
        <w:r w:rsidR="00CE0CC2">
          <w:rPr>
            <w:noProof/>
            <w:webHidden/>
          </w:rPr>
          <w:fldChar w:fldCharType="begin"/>
        </w:r>
        <w:r w:rsidR="00CE0CC2">
          <w:rPr>
            <w:noProof/>
            <w:webHidden/>
          </w:rPr>
          <w:instrText xml:space="preserve"> PAGEREF _Toc4874683 \h </w:instrText>
        </w:r>
        <w:r w:rsidR="00CE0CC2">
          <w:rPr>
            <w:noProof/>
            <w:webHidden/>
          </w:rPr>
        </w:r>
        <w:r w:rsidR="00CE0CC2">
          <w:rPr>
            <w:noProof/>
            <w:webHidden/>
          </w:rPr>
          <w:fldChar w:fldCharType="separate"/>
        </w:r>
        <w:r w:rsidR="005848AC">
          <w:rPr>
            <w:noProof/>
            <w:webHidden/>
          </w:rPr>
          <w:t>412</w:t>
        </w:r>
        <w:r w:rsidR="00CE0CC2">
          <w:rPr>
            <w:noProof/>
            <w:webHidden/>
          </w:rPr>
          <w:fldChar w:fldCharType="end"/>
        </w:r>
      </w:hyperlink>
    </w:p>
    <w:p w:rsidR="00CE0CC2" w:rsidRDefault="00C11C8B">
      <w:pPr>
        <w:pStyle w:val="TOC2"/>
        <w:tabs>
          <w:tab w:val="left" w:pos="660"/>
          <w:tab w:val="right" w:leader="dot" w:pos="7360"/>
        </w:tabs>
        <w:rPr>
          <w:rFonts w:asciiTheme="minorHAnsi" w:eastAsiaTheme="minorEastAsia" w:hAnsiTheme="minorHAnsi" w:cstheme="minorBidi"/>
          <w:noProof/>
          <w:color w:val="auto"/>
          <w:sz w:val="22"/>
          <w:szCs w:val="22"/>
        </w:rPr>
      </w:pPr>
      <w:hyperlink w:anchor="_Toc4874684" w:history="1">
        <w:r w:rsidR="00CE0CC2" w:rsidRPr="005A3B40">
          <w:rPr>
            <w:rStyle w:val="Hyperlink"/>
            <w:noProof/>
          </w:rPr>
          <w:t>3.1</w:t>
        </w:r>
        <w:r w:rsidR="00CE0CC2">
          <w:rPr>
            <w:rFonts w:asciiTheme="minorHAnsi" w:eastAsiaTheme="minorEastAsia" w:hAnsiTheme="minorHAnsi" w:cstheme="minorBidi"/>
            <w:noProof/>
            <w:color w:val="auto"/>
            <w:sz w:val="22"/>
            <w:szCs w:val="22"/>
          </w:rPr>
          <w:tab/>
        </w:r>
        <w:r w:rsidR="00CE0CC2" w:rsidRPr="005A3B40">
          <w:rPr>
            <w:rStyle w:val="Hyperlink"/>
            <w:noProof/>
          </w:rPr>
          <w:t>Budgeted Financial Statements</w:t>
        </w:r>
        <w:r w:rsidR="00CE0CC2">
          <w:rPr>
            <w:noProof/>
            <w:webHidden/>
          </w:rPr>
          <w:tab/>
        </w:r>
        <w:r w:rsidR="00CE0CC2">
          <w:rPr>
            <w:noProof/>
            <w:webHidden/>
          </w:rPr>
          <w:fldChar w:fldCharType="begin"/>
        </w:r>
        <w:r w:rsidR="00CE0CC2">
          <w:rPr>
            <w:noProof/>
            <w:webHidden/>
          </w:rPr>
          <w:instrText xml:space="preserve"> PAGEREF _Toc4874684 \h </w:instrText>
        </w:r>
        <w:r w:rsidR="00CE0CC2">
          <w:rPr>
            <w:noProof/>
            <w:webHidden/>
          </w:rPr>
        </w:r>
        <w:r w:rsidR="00CE0CC2">
          <w:rPr>
            <w:noProof/>
            <w:webHidden/>
          </w:rPr>
          <w:fldChar w:fldCharType="separate"/>
        </w:r>
        <w:r w:rsidR="005848AC">
          <w:rPr>
            <w:noProof/>
            <w:webHidden/>
          </w:rPr>
          <w:t>412</w:t>
        </w:r>
        <w:r w:rsidR="00CE0CC2">
          <w:rPr>
            <w:noProof/>
            <w:webHidden/>
          </w:rPr>
          <w:fldChar w:fldCharType="end"/>
        </w:r>
      </w:hyperlink>
    </w:p>
    <w:p w:rsidR="00CE0CC2" w:rsidRDefault="00C11C8B">
      <w:pPr>
        <w:pStyle w:val="TOC2"/>
        <w:tabs>
          <w:tab w:val="left" w:pos="660"/>
          <w:tab w:val="right" w:leader="dot" w:pos="7360"/>
        </w:tabs>
        <w:rPr>
          <w:rFonts w:asciiTheme="minorHAnsi" w:eastAsiaTheme="minorEastAsia" w:hAnsiTheme="minorHAnsi" w:cstheme="minorBidi"/>
          <w:noProof/>
          <w:color w:val="auto"/>
          <w:sz w:val="22"/>
          <w:szCs w:val="22"/>
        </w:rPr>
      </w:pPr>
      <w:hyperlink w:anchor="_Toc4874685" w:history="1">
        <w:r w:rsidR="00CE0CC2" w:rsidRPr="005A3B40">
          <w:rPr>
            <w:rStyle w:val="Hyperlink"/>
            <w:noProof/>
          </w:rPr>
          <w:t>3.2</w:t>
        </w:r>
        <w:r w:rsidR="00CE0CC2">
          <w:rPr>
            <w:rFonts w:asciiTheme="minorHAnsi" w:eastAsiaTheme="minorEastAsia" w:hAnsiTheme="minorHAnsi" w:cstheme="minorBidi"/>
            <w:noProof/>
            <w:color w:val="auto"/>
            <w:sz w:val="22"/>
            <w:szCs w:val="22"/>
          </w:rPr>
          <w:tab/>
        </w:r>
        <w:r w:rsidR="00CE0CC2" w:rsidRPr="005A3B40">
          <w:rPr>
            <w:rStyle w:val="Hyperlink"/>
            <w:noProof/>
          </w:rPr>
          <w:t>Budgeted Financial Statements Tables</w:t>
        </w:r>
        <w:r w:rsidR="00CE0CC2">
          <w:rPr>
            <w:noProof/>
            <w:webHidden/>
          </w:rPr>
          <w:tab/>
        </w:r>
        <w:r w:rsidR="00CE0CC2">
          <w:rPr>
            <w:noProof/>
            <w:webHidden/>
          </w:rPr>
          <w:fldChar w:fldCharType="begin"/>
        </w:r>
        <w:r w:rsidR="00CE0CC2">
          <w:rPr>
            <w:noProof/>
            <w:webHidden/>
          </w:rPr>
          <w:instrText xml:space="preserve"> PAGEREF _Toc4874685 \h </w:instrText>
        </w:r>
        <w:r w:rsidR="00CE0CC2">
          <w:rPr>
            <w:noProof/>
            <w:webHidden/>
          </w:rPr>
        </w:r>
        <w:r w:rsidR="00CE0CC2">
          <w:rPr>
            <w:noProof/>
            <w:webHidden/>
          </w:rPr>
          <w:fldChar w:fldCharType="separate"/>
        </w:r>
        <w:r w:rsidR="005848AC">
          <w:rPr>
            <w:noProof/>
            <w:webHidden/>
          </w:rPr>
          <w:t>413</w:t>
        </w:r>
        <w:r w:rsidR="00CE0CC2">
          <w:rPr>
            <w:noProof/>
            <w:webHidden/>
          </w:rPr>
          <w:fldChar w:fldCharType="end"/>
        </w:r>
      </w:hyperlink>
    </w:p>
    <w:p w:rsidR="003F32B8" w:rsidRPr="00CD6C5C" w:rsidRDefault="00E46144" w:rsidP="00D96AAC">
      <w:pPr>
        <w:rPr>
          <w:color w:val="000000" w:themeColor="text1"/>
        </w:rPr>
        <w:sectPr w:rsidR="003F32B8" w:rsidRPr="00CD6C5C" w:rsidSect="002D4BCF">
          <w:headerReference w:type="even" r:id="rId13"/>
          <w:headerReference w:type="default" r:id="rId14"/>
          <w:headerReference w:type="first" r:id="rId15"/>
          <w:footerReference w:type="first" r:id="rId16"/>
          <w:pgSz w:w="11906" w:h="16838" w:code="9"/>
          <w:pgMar w:top="2665" w:right="2268" w:bottom="2126" w:left="2268" w:header="1899" w:footer="1899" w:gutter="0"/>
          <w:cols w:space="708"/>
          <w:titlePg/>
          <w:docGrid w:linePitch="360"/>
        </w:sectPr>
      </w:pPr>
      <w:r w:rsidRPr="00CD6C5C">
        <w:rPr>
          <w:color w:val="000000" w:themeColor="text1"/>
        </w:rPr>
        <w:fldChar w:fldCharType="end"/>
      </w:r>
    </w:p>
    <w:p w:rsidR="000E33CF" w:rsidRDefault="000E33CF" w:rsidP="00585489">
      <w:pPr>
        <w:pStyle w:val="Heading2"/>
      </w:pPr>
      <w:bookmarkStart w:id="1" w:name="_Toc4874677"/>
      <w:r w:rsidRPr="00585489">
        <w:t xml:space="preserve">Section 1: </w:t>
      </w:r>
      <w:r w:rsidR="00683E6A" w:rsidRPr="00585489">
        <w:t>Entity</w:t>
      </w:r>
      <w:r w:rsidRPr="00585489">
        <w:t xml:space="preserve"> Overview and Resources</w:t>
      </w:r>
      <w:bookmarkEnd w:id="1"/>
    </w:p>
    <w:p w:rsidR="00645FA0" w:rsidRDefault="00645FA0" w:rsidP="00FB24FC">
      <w:pPr>
        <w:pStyle w:val="Heading3"/>
        <w:numPr>
          <w:ilvl w:val="1"/>
          <w:numId w:val="30"/>
        </w:numPr>
      </w:pPr>
      <w:bookmarkStart w:id="2" w:name="_Toc4874678"/>
      <w:r w:rsidRPr="00585489">
        <w:t>Strategic Direction Statement</w:t>
      </w:r>
      <w:r w:rsidR="00F409FB" w:rsidRPr="00E36F79">
        <w:rPr>
          <w:b w:val="0"/>
          <w:vertAlign w:val="superscript"/>
        </w:rPr>
        <w:footnoteReference w:id="1"/>
      </w:r>
      <w:bookmarkEnd w:id="2"/>
    </w:p>
    <w:p w:rsidR="00AD324E" w:rsidRPr="004762D9" w:rsidRDefault="002B70A0" w:rsidP="00585489">
      <w:pPr>
        <w:rPr>
          <w:color w:val="auto"/>
        </w:rPr>
      </w:pPr>
      <w:r w:rsidRPr="00CD6C5C">
        <w:t xml:space="preserve">The Australian Government, through the Professional Services Review (PSR), </w:t>
      </w:r>
      <w:r w:rsidR="0006400B">
        <w:t>safeguards the public against the risks and cos</w:t>
      </w:r>
      <w:r w:rsidR="00DE1E14">
        <w:t>ts of inappropriate practice by</w:t>
      </w:r>
      <w:r w:rsidR="00031EBE">
        <w:t xml:space="preserve"> </w:t>
      </w:r>
      <w:r w:rsidR="0006400B">
        <w:t>health</w:t>
      </w:r>
      <w:r w:rsidR="00031EBE">
        <w:t> </w:t>
      </w:r>
      <w:r w:rsidR="0006400B">
        <w:t xml:space="preserve">practitioners, and </w:t>
      </w:r>
      <w:r w:rsidRPr="00CD6C5C">
        <w:t>aims</w:t>
      </w:r>
      <w:r w:rsidR="004638D7" w:rsidRPr="00CD6C5C">
        <w:t xml:space="preserve"> to protect the integrity of Commonwealth </w:t>
      </w:r>
      <w:r w:rsidR="001B21A1" w:rsidRPr="00CD6C5C">
        <w:t>M</w:t>
      </w:r>
      <w:r w:rsidR="00AD324E" w:rsidRPr="00CD6C5C">
        <w:t>edicare</w:t>
      </w:r>
      <w:r w:rsidR="004638D7" w:rsidRPr="00CD6C5C">
        <w:t xml:space="preserve"> </w:t>
      </w:r>
      <w:r w:rsidR="004638D7" w:rsidRPr="004762D9">
        <w:rPr>
          <w:color w:val="auto"/>
        </w:rPr>
        <w:t xml:space="preserve">benefits, dental benefits and pharmaceutical benefits programs. </w:t>
      </w:r>
    </w:p>
    <w:p w:rsidR="002B70A0" w:rsidRPr="00CD6C5C" w:rsidRDefault="002B70A0" w:rsidP="00585489">
      <w:r w:rsidRPr="00CD6C5C">
        <w:t xml:space="preserve">PSR </w:t>
      </w:r>
      <w:r w:rsidR="004638D7" w:rsidRPr="00CD6C5C">
        <w:t xml:space="preserve">reviews and </w:t>
      </w:r>
      <w:r w:rsidRPr="00CD6C5C">
        <w:t>investigates health practitioners who are suspected of inappropriate practice, on request fr</w:t>
      </w:r>
      <w:r w:rsidR="00A12BEB" w:rsidRPr="00CD6C5C">
        <w:t>om the Chief Executive Medicare</w:t>
      </w:r>
      <w:r w:rsidR="00D67216" w:rsidRPr="00CD6C5C">
        <w:t xml:space="preserve">. </w:t>
      </w:r>
      <w:r w:rsidRPr="00CD6C5C">
        <w:t>‛Inappropriate practice’ includes inappropriately rendering or initiating health services that attract a Medicare Benefits Schedule (MBS) payment, or inappropriately prescribing under the Pharmaceutical Benefits Scheme (PBS).</w:t>
      </w:r>
    </w:p>
    <w:p w:rsidR="002B70A0" w:rsidRPr="00CD6C5C" w:rsidRDefault="002B70A0" w:rsidP="00585489">
      <w:bookmarkStart w:id="3" w:name="OLE_LINK1"/>
      <w:bookmarkStart w:id="4" w:name="OLE_LINK2"/>
      <w:r w:rsidRPr="00CD6C5C">
        <w:t>The PSR Scheme is part of a strong regulatory regime designed to ensure that appropriate and cost</w:t>
      </w:r>
      <w:r w:rsidRPr="00CD6C5C">
        <w:noBreakHyphen/>
        <w:t xml:space="preserve">effective clinical services are delivered. </w:t>
      </w:r>
      <w:bookmarkEnd w:id="3"/>
      <w:bookmarkEnd w:id="4"/>
      <w:r w:rsidRPr="00CD6C5C">
        <w:t xml:space="preserve">The </w:t>
      </w:r>
      <w:r w:rsidR="00EA2500">
        <w:t xml:space="preserve">PSR </w:t>
      </w:r>
      <w:r w:rsidRPr="00CD6C5C">
        <w:t>Scheme covers medical practitioners, dentists, optometrists, midwives, nurse practitioners, chiropractors, p</w:t>
      </w:r>
      <w:r w:rsidR="004638D7" w:rsidRPr="00CD6C5C">
        <w:t>hysiotherapists, podiatrists,</w:t>
      </w:r>
      <w:r w:rsidRPr="00CD6C5C">
        <w:t xml:space="preserve"> osteopaths, audiologists, diabetes educators, dieticians, exercise physiologists, mental health nurses, occupational therapists, psychologists, social workers, speech pathologists, Aboriginal and Torres Strait Islander health practitioners, Aboriginal health workers and orthoptists.</w:t>
      </w:r>
    </w:p>
    <w:p w:rsidR="002B70A0" w:rsidRPr="00CD6C5C" w:rsidRDefault="004638D7" w:rsidP="00585489">
      <w:r w:rsidRPr="00CD6C5C">
        <w:t>Reviews</w:t>
      </w:r>
      <w:r w:rsidR="002B70A0" w:rsidRPr="00CD6C5C">
        <w:t xml:space="preserve"> are conducted by the Director of PSR who</w:t>
      </w:r>
      <w:r w:rsidRPr="00CD6C5C">
        <w:t xml:space="preserve"> can take further action by entering into a negotiated agreement with</w:t>
      </w:r>
      <w:r w:rsidR="002B70A0" w:rsidRPr="00CD6C5C">
        <w:t xml:space="preserve"> the health practitioner </w:t>
      </w:r>
      <w:r w:rsidRPr="00CD6C5C">
        <w:t xml:space="preserve">or referring them </w:t>
      </w:r>
      <w:r w:rsidR="002B70A0" w:rsidRPr="00CD6C5C">
        <w:t>to a committee of peers constituted by appointed PSR Panel members and Deputy Directors. This review could be undertaken in relation to the MBS and/or the PBS, both of which are administered by the Department of Human Services. The PSR Scheme also applies sanctions, if required, through the PSR Determining Authority</w:t>
      </w:r>
      <w:r w:rsidR="002D0C83" w:rsidRPr="00585489">
        <w:rPr>
          <w:rStyle w:val="FootnoteReference"/>
        </w:rPr>
        <w:footnoteReference w:id="2"/>
      </w:r>
      <w:r w:rsidR="002B70A0" w:rsidRPr="00CD6C5C">
        <w:t>.</w:t>
      </w:r>
    </w:p>
    <w:p w:rsidR="00C7475E" w:rsidRDefault="002B70A0" w:rsidP="00585489">
      <w:r w:rsidRPr="00CD6C5C">
        <w:t xml:space="preserve">PSR seeks to change behaviour across the health professions by deterring inappropriate practice and raising awareness of the Australian Government’s expectation of high quality health service delivery. </w:t>
      </w:r>
    </w:p>
    <w:p w:rsidR="002B70A0" w:rsidRPr="00CD6C5C" w:rsidRDefault="002B70A0" w:rsidP="00585489">
      <w:r w:rsidRPr="00CD6C5C">
        <w:t xml:space="preserve">The role and functions of PSR are set out in Part VAA of the </w:t>
      </w:r>
      <w:r w:rsidRPr="00CD6C5C">
        <w:rPr>
          <w:i/>
        </w:rPr>
        <w:t>Health Insurance Act 1973</w:t>
      </w:r>
      <w:r w:rsidRPr="00CD6C5C">
        <w:t xml:space="preserve">. PSR is a </w:t>
      </w:r>
      <w:r w:rsidR="00EA2500">
        <w:t>n</w:t>
      </w:r>
      <w:r w:rsidRPr="00CD6C5C">
        <w:t xml:space="preserve">on-corporate Commonwealth </w:t>
      </w:r>
      <w:r w:rsidR="00EA2500">
        <w:t>e</w:t>
      </w:r>
      <w:r w:rsidRPr="00CD6C5C">
        <w:t xml:space="preserve">ntity under the </w:t>
      </w:r>
      <w:r w:rsidR="002D0C83">
        <w:rPr>
          <w:i/>
        </w:rPr>
        <w:t>Public </w:t>
      </w:r>
      <w:r w:rsidRPr="00CD6C5C">
        <w:rPr>
          <w:i/>
        </w:rPr>
        <w:t>Governance, Performance and Accountability Act 2013</w:t>
      </w:r>
      <w:r w:rsidRPr="00CD6C5C">
        <w:t>.</w:t>
      </w:r>
    </w:p>
    <w:p w:rsidR="000E33CF" w:rsidRPr="00DE3F75" w:rsidRDefault="000E33CF" w:rsidP="008261A0">
      <w:pPr>
        <w:rPr>
          <w:color w:val="000000" w:themeColor="text1"/>
          <w:lang w:eastAsia="en-US"/>
        </w:rPr>
      </w:pPr>
      <w:r w:rsidRPr="00DE3F75">
        <w:rPr>
          <w:color w:val="000000" w:themeColor="text1"/>
        </w:rPr>
        <w:br w:type="page"/>
      </w:r>
    </w:p>
    <w:p w:rsidR="00A76D89" w:rsidRPr="002308D2" w:rsidRDefault="00A76D89" w:rsidP="00111439">
      <w:pPr>
        <w:pStyle w:val="Heading3"/>
        <w:spacing w:after="120"/>
      </w:pPr>
      <w:bookmarkStart w:id="5" w:name="_Toc4874679"/>
      <w:r w:rsidRPr="002308D2">
        <w:t>1.2</w:t>
      </w:r>
      <w:r w:rsidRPr="002308D2">
        <w:tab/>
      </w:r>
      <w:r w:rsidR="00B07E5C" w:rsidRPr="002308D2">
        <w:t>Entity</w:t>
      </w:r>
      <w:r w:rsidRPr="002308D2">
        <w:t xml:space="preserve"> Resource</w:t>
      </w:r>
      <w:r w:rsidR="0035620F" w:rsidRPr="002308D2">
        <w:t xml:space="preserve"> Statement</w:t>
      </w:r>
      <w:bookmarkEnd w:id="5"/>
    </w:p>
    <w:p w:rsidR="0035620F" w:rsidRPr="00CD6C5C" w:rsidRDefault="0035620F" w:rsidP="00C8461B">
      <w:r w:rsidRPr="00CD6C5C">
        <w:t>Table 1.1 shows the total funding from all sources available to the entity for its operations and to deliver programs and servic</w:t>
      </w:r>
      <w:r w:rsidR="00DB68DD" w:rsidRPr="00CD6C5C">
        <w:t>es on behalf of the Government.</w:t>
      </w:r>
    </w:p>
    <w:p w:rsidR="0035620F" w:rsidRPr="00CD6C5C" w:rsidRDefault="0035620F" w:rsidP="00C8461B">
      <w:r w:rsidRPr="00CD6C5C">
        <w:t>The table summarises ho</w:t>
      </w:r>
      <w:r w:rsidR="00DB68DD" w:rsidRPr="00CD6C5C">
        <w:t xml:space="preserve">w resources will be applied by </w:t>
      </w:r>
      <w:r w:rsidR="00867B86" w:rsidRPr="00CD6C5C">
        <w:t>o</w:t>
      </w:r>
      <w:r w:rsidR="00DB68DD" w:rsidRPr="00CD6C5C">
        <w:t>utcome (G</w:t>
      </w:r>
      <w:r w:rsidRPr="00CD6C5C">
        <w:t xml:space="preserve">overnment strategic policy objectives) and by </w:t>
      </w:r>
      <w:r w:rsidR="00867B86" w:rsidRPr="00CD6C5C">
        <w:t>a</w:t>
      </w:r>
      <w:r w:rsidR="00DB68DD" w:rsidRPr="00CD6C5C">
        <w:t>dministered (on behalf of the G</w:t>
      </w:r>
      <w:r w:rsidR="00CE099D" w:rsidRPr="00CD6C5C">
        <w:t xml:space="preserve">overnment or the public) and </w:t>
      </w:r>
      <w:r w:rsidR="00867B86" w:rsidRPr="00CD6C5C">
        <w:t>d</w:t>
      </w:r>
      <w:r w:rsidRPr="00CD6C5C">
        <w:t>epartmental (for the entity’s operations) classification.</w:t>
      </w:r>
    </w:p>
    <w:p w:rsidR="0035620F" w:rsidRPr="00CD6C5C" w:rsidRDefault="0035620F" w:rsidP="00C8461B">
      <w:r w:rsidRPr="00CD6C5C">
        <w:t>For more detailed information on special accounts and special appropriations,</w:t>
      </w:r>
      <w:r w:rsidR="00DE1E14">
        <w:br/>
      </w:r>
      <w:r w:rsidRPr="00CD6C5C">
        <w:t xml:space="preserve">refer to </w:t>
      </w:r>
      <w:r w:rsidRPr="00CD6C5C">
        <w:rPr>
          <w:i/>
        </w:rPr>
        <w:t>Budget Paper No. 4 – Agency Resourcing</w:t>
      </w:r>
      <w:r w:rsidRPr="00CD6C5C">
        <w:t>.</w:t>
      </w:r>
    </w:p>
    <w:p w:rsidR="0035620F" w:rsidRPr="00CD6C5C" w:rsidRDefault="0035620F" w:rsidP="00111439">
      <w:r w:rsidRPr="00CD6C5C">
        <w:t xml:space="preserve">Information in this table is presented on a resourcing (i.e. appropriations/cash available) basis, whilst the </w:t>
      </w:r>
      <w:r w:rsidR="00654860">
        <w:t>‛</w:t>
      </w:r>
      <w:r w:rsidRPr="00CD6C5C">
        <w:t xml:space="preserve">Budgeted expenses by </w:t>
      </w:r>
      <w:r w:rsidR="00867B86" w:rsidRPr="00CD6C5C">
        <w:t>o</w:t>
      </w:r>
      <w:r w:rsidRPr="00CD6C5C">
        <w:t>utcome’ tables in Section 2 and the financial statements in Section 3 are presented on an accrual basis.</w:t>
      </w:r>
    </w:p>
    <w:p w:rsidR="008B4EA1" w:rsidRDefault="00A76D89" w:rsidP="00111439">
      <w:pPr>
        <w:pStyle w:val="Tablenumberandreference"/>
      </w:pPr>
      <w:r w:rsidRPr="00C8461B">
        <w:t xml:space="preserve">Table 1.1: </w:t>
      </w:r>
      <w:r w:rsidR="002B70A0" w:rsidRPr="00C8461B">
        <w:t>PSR</w:t>
      </w:r>
      <w:r w:rsidR="00B86D11" w:rsidRPr="00C8461B">
        <w:t xml:space="preserve"> </w:t>
      </w:r>
      <w:r w:rsidRPr="00C8461B">
        <w:t>Resource Stat</w:t>
      </w:r>
      <w:r w:rsidR="00EC14E0" w:rsidRPr="00C8461B">
        <w:t>ement – Budget Estimates for 201</w:t>
      </w:r>
      <w:r w:rsidR="00934304">
        <w:t>9</w:t>
      </w:r>
      <w:r w:rsidR="00EC14E0" w:rsidRPr="00C8461B">
        <w:t>-</w:t>
      </w:r>
      <w:r w:rsidR="00934304">
        <w:t>20 as at Budget April</w:t>
      </w:r>
      <w:r w:rsidR="00020BE9" w:rsidRPr="00C8461B">
        <w:t> </w:t>
      </w:r>
      <w:r w:rsidR="00EC14E0" w:rsidRPr="00C8461B">
        <w:t>201</w:t>
      </w:r>
      <w:r w:rsidR="00934304">
        <w:t>9</w:t>
      </w:r>
    </w:p>
    <w:tbl>
      <w:tblPr>
        <w:tblW w:w="7380" w:type="dxa"/>
        <w:jc w:val="center"/>
        <w:tblLayout w:type="fixed"/>
        <w:tblLook w:val="04A0" w:firstRow="1" w:lastRow="0" w:firstColumn="1" w:lastColumn="0" w:noHBand="0" w:noVBand="1"/>
      </w:tblPr>
      <w:tblGrid>
        <w:gridCol w:w="4660"/>
        <w:gridCol w:w="1360"/>
        <w:gridCol w:w="1360"/>
      </w:tblGrid>
      <w:tr w:rsidR="00031EBE" w:rsidRPr="00031EBE" w:rsidTr="00031EBE">
        <w:trPr>
          <w:trHeight w:val="765"/>
          <w:jc w:val="center"/>
        </w:trPr>
        <w:tc>
          <w:tcPr>
            <w:tcW w:w="4660" w:type="dxa"/>
            <w:tcBorders>
              <w:top w:val="single" w:sz="4" w:space="0" w:color="auto"/>
              <w:left w:val="nil"/>
              <w:bottom w:val="nil"/>
              <w:right w:val="nil"/>
            </w:tcBorders>
            <w:shd w:val="clear" w:color="auto" w:fill="auto"/>
            <w:hideMark/>
          </w:tcPr>
          <w:p w:rsidR="00031EBE" w:rsidRPr="00031EBE" w:rsidRDefault="00031EBE" w:rsidP="00031EBE">
            <w:pPr>
              <w:spacing w:before="40" w:after="0"/>
              <w:jc w:val="right"/>
              <w:rPr>
                <w:rFonts w:ascii="Arial" w:hAnsi="Arial" w:cs="Arial"/>
                <w:b/>
                <w:bCs/>
                <w:color w:val="auto"/>
                <w:sz w:val="16"/>
                <w:szCs w:val="16"/>
              </w:rPr>
            </w:pPr>
            <w:r w:rsidRPr="00031EBE">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rsidR="00031EBE" w:rsidRPr="00031EBE" w:rsidRDefault="00031EBE" w:rsidP="00031EBE">
            <w:pPr>
              <w:spacing w:before="40" w:after="0"/>
              <w:jc w:val="right"/>
              <w:rPr>
                <w:rFonts w:ascii="Arial" w:hAnsi="Arial" w:cs="Arial"/>
                <w:b/>
                <w:bCs/>
                <w:color w:val="auto"/>
                <w:sz w:val="16"/>
                <w:szCs w:val="16"/>
              </w:rPr>
            </w:pPr>
            <w:r w:rsidRPr="00031EBE">
              <w:rPr>
                <w:rFonts w:ascii="Arial" w:hAnsi="Arial" w:cs="Arial"/>
                <w:b/>
                <w:bCs/>
                <w:color w:val="auto"/>
                <w:sz w:val="16"/>
                <w:szCs w:val="16"/>
              </w:rPr>
              <w:t>2018-19</w:t>
            </w:r>
            <w:r w:rsidRPr="00031EBE">
              <w:rPr>
                <w:rFonts w:ascii="Arial" w:hAnsi="Arial" w:cs="Arial"/>
                <w:b/>
                <w:bCs/>
                <w:color w:val="auto"/>
                <w:sz w:val="16"/>
                <w:szCs w:val="16"/>
              </w:rPr>
              <w:br/>
              <w:t>Estimated</w:t>
            </w:r>
            <w:r w:rsidRPr="00031EBE">
              <w:rPr>
                <w:rFonts w:ascii="Arial" w:hAnsi="Arial" w:cs="Arial"/>
                <w:b/>
                <w:bCs/>
                <w:color w:val="auto"/>
                <w:sz w:val="16"/>
                <w:szCs w:val="16"/>
              </w:rPr>
              <w:br/>
              <w:t>actual</w:t>
            </w:r>
            <w:r w:rsidRPr="00031EBE">
              <w:rPr>
                <w:rFonts w:ascii="Arial" w:hAnsi="Arial" w:cs="Arial"/>
                <w:b/>
                <w:bCs/>
                <w:color w:val="auto"/>
                <w:sz w:val="16"/>
                <w:szCs w:val="16"/>
              </w:rPr>
              <w:br/>
            </w:r>
            <w:r w:rsidRPr="00031EBE">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hideMark/>
          </w:tcPr>
          <w:p w:rsidR="00031EBE" w:rsidRPr="00031EBE" w:rsidRDefault="00031EBE" w:rsidP="00031EBE">
            <w:pPr>
              <w:spacing w:before="40" w:after="0"/>
              <w:jc w:val="right"/>
              <w:rPr>
                <w:rFonts w:ascii="Arial" w:hAnsi="Arial" w:cs="Arial"/>
                <w:b/>
                <w:bCs/>
                <w:color w:val="auto"/>
                <w:sz w:val="16"/>
                <w:szCs w:val="16"/>
              </w:rPr>
            </w:pPr>
            <w:r w:rsidRPr="00031EBE">
              <w:rPr>
                <w:rFonts w:ascii="Arial" w:hAnsi="Arial" w:cs="Arial"/>
                <w:b/>
                <w:bCs/>
                <w:color w:val="auto"/>
                <w:sz w:val="16"/>
                <w:szCs w:val="16"/>
              </w:rPr>
              <w:t>2019-20</w:t>
            </w:r>
            <w:r w:rsidRPr="00031EBE">
              <w:rPr>
                <w:rFonts w:ascii="Arial" w:hAnsi="Arial" w:cs="Arial"/>
                <w:b/>
                <w:bCs/>
                <w:color w:val="auto"/>
                <w:sz w:val="16"/>
                <w:szCs w:val="16"/>
              </w:rPr>
              <w:br/>
              <w:t>Estimate</w:t>
            </w:r>
            <w:r w:rsidRPr="00031EBE">
              <w:rPr>
                <w:rFonts w:ascii="Arial" w:hAnsi="Arial" w:cs="Arial"/>
                <w:b/>
                <w:bCs/>
                <w:color w:val="auto"/>
                <w:sz w:val="16"/>
                <w:szCs w:val="16"/>
              </w:rPr>
              <w:br/>
            </w:r>
            <w:r w:rsidRPr="00031EBE">
              <w:rPr>
                <w:rFonts w:ascii="Arial" w:hAnsi="Arial" w:cs="Arial"/>
                <w:b/>
                <w:bCs/>
                <w:color w:val="auto"/>
                <w:sz w:val="16"/>
                <w:szCs w:val="16"/>
              </w:rPr>
              <w:br/>
            </w:r>
            <w:r w:rsidRPr="00031EBE">
              <w:rPr>
                <w:rFonts w:ascii="Arial" w:hAnsi="Arial" w:cs="Arial"/>
                <w:color w:val="auto"/>
                <w:sz w:val="16"/>
                <w:szCs w:val="16"/>
              </w:rPr>
              <w:t>$'000</w:t>
            </w:r>
          </w:p>
        </w:tc>
      </w:tr>
      <w:tr w:rsidR="00031EBE" w:rsidRPr="00031EBE" w:rsidTr="00031EBE">
        <w:trPr>
          <w:trHeight w:val="225"/>
          <w:jc w:val="center"/>
        </w:trPr>
        <w:tc>
          <w:tcPr>
            <w:tcW w:w="4660" w:type="dxa"/>
            <w:tcBorders>
              <w:top w:val="nil"/>
              <w:left w:val="nil"/>
              <w:bottom w:val="nil"/>
              <w:right w:val="nil"/>
            </w:tcBorders>
            <w:shd w:val="clear" w:color="auto" w:fill="auto"/>
            <w:noWrap/>
            <w:vAlign w:val="bottom"/>
            <w:hideMark/>
          </w:tcPr>
          <w:p w:rsidR="00031EBE" w:rsidRPr="00031EBE" w:rsidRDefault="00031EBE" w:rsidP="00031EBE">
            <w:pPr>
              <w:spacing w:after="0"/>
              <w:rPr>
                <w:rFonts w:ascii="Arial" w:hAnsi="Arial" w:cs="Arial"/>
                <w:b/>
                <w:bCs/>
                <w:color w:val="auto"/>
                <w:sz w:val="16"/>
                <w:szCs w:val="16"/>
              </w:rPr>
            </w:pPr>
            <w:r w:rsidRPr="00031EBE">
              <w:rPr>
                <w:rFonts w:ascii="Arial" w:hAnsi="Arial" w:cs="Arial"/>
                <w:b/>
                <w:bCs/>
                <w:color w:val="auto"/>
                <w:sz w:val="16"/>
                <w:szCs w:val="16"/>
              </w:rPr>
              <w:t>DEPARTMENTAL</w:t>
            </w:r>
          </w:p>
        </w:tc>
        <w:tc>
          <w:tcPr>
            <w:tcW w:w="1360" w:type="dxa"/>
            <w:tcBorders>
              <w:top w:val="nil"/>
              <w:left w:val="nil"/>
              <w:bottom w:val="nil"/>
              <w:right w:val="nil"/>
            </w:tcBorders>
            <w:shd w:val="clear" w:color="auto" w:fill="auto"/>
            <w:vAlign w:val="bottom"/>
            <w:hideMark/>
          </w:tcPr>
          <w:p w:rsidR="00031EBE" w:rsidRPr="00031EBE" w:rsidRDefault="00031EBE" w:rsidP="00031EBE">
            <w:pPr>
              <w:spacing w:after="0"/>
              <w:jc w:val="right"/>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rsidR="00031EBE" w:rsidRPr="00031EBE" w:rsidRDefault="00031EBE" w:rsidP="00031EBE">
            <w:pPr>
              <w:spacing w:after="0"/>
              <w:jc w:val="right"/>
              <w:rPr>
                <w:rFonts w:ascii="Arial" w:hAnsi="Arial" w:cs="Arial"/>
                <w:color w:val="auto"/>
                <w:sz w:val="16"/>
                <w:szCs w:val="16"/>
              </w:rPr>
            </w:pPr>
            <w:r w:rsidRPr="00031EBE">
              <w:rPr>
                <w:rFonts w:ascii="Arial" w:hAnsi="Arial" w:cs="Arial"/>
                <w:color w:val="auto"/>
                <w:sz w:val="16"/>
                <w:szCs w:val="16"/>
              </w:rPr>
              <w:t> </w:t>
            </w:r>
          </w:p>
        </w:tc>
      </w:tr>
      <w:tr w:rsidR="00031EBE" w:rsidRPr="00031EBE" w:rsidTr="00031EBE">
        <w:trPr>
          <w:trHeight w:val="225"/>
          <w:jc w:val="center"/>
        </w:trPr>
        <w:tc>
          <w:tcPr>
            <w:tcW w:w="4660" w:type="dxa"/>
            <w:tcBorders>
              <w:top w:val="nil"/>
              <w:left w:val="nil"/>
              <w:bottom w:val="nil"/>
              <w:right w:val="nil"/>
            </w:tcBorders>
            <w:shd w:val="clear" w:color="auto" w:fill="auto"/>
            <w:noWrap/>
            <w:vAlign w:val="bottom"/>
            <w:hideMark/>
          </w:tcPr>
          <w:p w:rsidR="00031EBE" w:rsidRPr="00031EBE" w:rsidRDefault="00031EBE" w:rsidP="00031EBE">
            <w:pPr>
              <w:spacing w:after="0"/>
              <w:ind w:firstLineChars="100" w:firstLine="160"/>
              <w:rPr>
                <w:rFonts w:ascii="Arial" w:hAnsi="Arial" w:cs="Arial"/>
                <w:color w:val="auto"/>
                <w:sz w:val="16"/>
                <w:szCs w:val="16"/>
              </w:rPr>
            </w:pPr>
            <w:r w:rsidRPr="00031EBE">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rsidR="00031EBE" w:rsidRPr="00031EBE" w:rsidRDefault="00031EBE" w:rsidP="00031EBE">
            <w:pPr>
              <w:spacing w:after="0"/>
              <w:jc w:val="right"/>
              <w:rPr>
                <w:rFonts w:ascii="Arial" w:hAnsi="Arial" w:cs="Arial"/>
                <w:color w:val="auto"/>
                <w:sz w:val="16"/>
                <w:szCs w:val="16"/>
              </w:rPr>
            </w:pPr>
            <w:r w:rsidRPr="00031EBE">
              <w:rPr>
                <w:rFonts w:ascii="Arial" w:hAnsi="Arial" w:cs="Arial"/>
                <w:color w:val="auto"/>
                <w:sz w:val="16"/>
                <w:szCs w:val="16"/>
              </w:rPr>
              <w:t>2,274</w:t>
            </w:r>
          </w:p>
        </w:tc>
        <w:tc>
          <w:tcPr>
            <w:tcW w:w="1360" w:type="dxa"/>
            <w:tcBorders>
              <w:top w:val="nil"/>
              <w:left w:val="nil"/>
              <w:bottom w:val="nil"/>
              <w:right w:val="nil"/>
            </w:tcBorders>
            <w:shd w:val="clear" w:color="000000" w:fill="D9D9D9"/>
            <w:noWrap/>
            <w:vAlign w:val="bottom"/>
            <w:hideMark/>
          </w:tcPr>
          <w:p w:rsidR="00031EBE" w:rsidRPr="00031EBE" w:rsidRDefault="00031EBE" w:rsidP="00031EBE">
            <w:pPr>
              <w:spacing w:after="0"/>
              <w:jc w:val="right"/>
              <w:rPr>
                <w:rFonts w:ascii="Arial" w:hAnsi="Arial" w:cs="Arial"/>
                <w:color w:val="auto"/>
                <w:sz w:val="16"/>
                <w:szCs w:val="16"/>
              </w:rPr>
            </w:pPr>
            <w:r w:rsidRPr="00031EBE">
              <w:rPr>
                <w:rFonts w:ascii="Arial" w:hAnsi="Arial" w:cs="Arial"/>
                <w:color w:val="auto"/>
                <w:sz w:val="16"/>
                <w:szCs w:val="16"/>
              </w:rPr>
              <w:t>2,276</w:t>
            </w:r>
          </w:p>
        </w:tc>
      </w:tr>
      <w:tr w:rsidR="00031EBE" w:rsidRPr="00031EBE" w:rsidTr="00DD6038">
        <w:trPr>
          <w:trHeight w:val="255"/>
          <w:jc w:val="center"/>
        </w:trPr>
        <w:tc>
          <w:tcPr>
            <w:tcW w:w="4660" w:type="dxa"/>
            <w:tcBorders>
              <w:top w:val="nil"/>
              <w:left w:val="nil"/>
              <w:bottom w:val="nil"/>
              <w:right w:val="nil"/>
            </w:tcBorders>
            <w:shd w:val="clear" w:color="auto" w:fill="auto"/>
            <w:noWrap/>
            <w:vAlign w:val="bottom"/>
            <w:hideMark/>
          </w:tcPr>
          <w:p w:rsidR="00031EBE" w:rsidRPr="00031EBE" w:rsidRDefault="00031EBE" w:rsidP="001B17A0">
            <w:pPr>
              <w:spacing w:after="0"/>
              <w:ind w:firstLineChars="100" w:firstLine="160"/>
              <w:rPr>
                <w:rFonts w:ascii="Arial" w:hAnsi="Arial" w:cs="Arial"/>
                <w:b/>
                <w:bCs/>
                <w:color w:val="auto"/>
                <w:sz w:val="16"/>
                <w:szCs w:val="16"/>
              </w:rPr>
            </w:pPr>
            <w:r w:rsidRPr="00031EBE">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rsidR="00031EBE" w:rsidRPr="00031EBE" w:rsidRDefault="00031EBE" w:rsidP="001B17A0">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rsidR="00031EBE" w:rsidRPr="00031EBE" w:rsidRDefault="00031EBE" w:rsidP="00031EBE">
            <w:pPr>
              <w:spacing w:after="0"/>
              <w:jc w:val="right"/>
              <w:rPr>
                <w:rFonts w:ascii="Arial" w:hAnsi="Arial" w:cs="Arial"/>
                <w:b/>
                <w:bCs/>
                <w:color w:val="auto"/>
                <w:sz w:val="16"/>
                <w:szCs w:val="16"/>
              </w:rPr>
            </w:pPr>
            <w:r w:rsidRPr="00031EBE">
              <w:rPr>
                <w:rFonts w:ascii="Arial" w:hAnsi="Arial" w:cs="Arial"/>
                <w:b/>
                <w:bCs/>
                <w:color w:val="auto"/>
                <w:sz w:val="16"/>
                <w:szCs w:val="16"/>
              </w:rPr>
              <w:t> </w:t>
            </w:r>
          </w:p>
        </w:tc>
      </w:tr>
      <w:tr w:rsidR="00031EBE" w:rsidRPr="00031EBE" w:rsidTr="00031EBE">
        <w:trPr>
          <w:trHeight w:val="225"/>
          <w:jc w:val="center"/>
        </w:trPr>
        <w:tc>
          <w:tcPr>
            <w:tcW w:w="4660" w:type="dxa"/>
            <w:tcBorders>
              <w:top w:val="nil"/>
              <w:left w:val="nil"/>
              <w:bottom w:val="nil"/>
              <w:right w:val="nil"/>
            </w:tcBorders>
            <w:shd w:val="clear" w:color="auto" w:fill="auto"/>
            <w:noWrap/>
            <w:vAlign w:val="bottom"/>
            <w:hideMark/>
          </w:tcPr>
          <w:p w:rsidR="00031EBE" w:rsidRPr="00031EBE" w:rsidRDefault="00031EBE" w:rsidP="00031EBE">
            <w:pPr>
              <w:spacing w:after="0"/>
              <w:ind w:firstLineChars="200" w:firstLine="320"/>
              <w:rPr>
                <w:rFonts w:ascii="Arial" w:hAnsi="Arial" w:cs="Arial"/>
                <w:color w:val="auto"/>
                <w:sz w:val="16"/>
                <w:szCs w:val="16"/>
              </w:rPr>
            </w:pPr>
            <w:r w:rsidRPr="00031EBE">
              <w:rPr>
                <w:rFonts w:ascii="Arial" w:hAnsi="Arial" w:cs="Arial"/>
                <w:color w:val="auto"/>
                <w:sz w:val="16"/>
                <w:szCs w:val="16"/>
              </w:rPr>
              <w:t xml:space="preserve">Ordinary annual services </w:t>
            </w:r>
            <w:r w:rsidRPr="00031EBE">
              <w:rPr>
                <w:rFonts w:ascii="Arial" w:hAnsi="Arial" w:cs="Arial"/>
                <w:color w:val="auto"/>
                <w:sz w:val="16"/>
                <w:szCs w:val="16"/>
                <w:vertAlign w:val="superscript"/>
              </w:rPr>
              <w:t>(a)</w:t>
            </w:r>
          </w:p>
        </w:tc>
        <w:tc>
          <w:tcPr>
            <w:tcW w:w="1360" w:type="dxa"/>
            <w:tcBorders>
              <w:top w:val="nil"/>
              <w:left w:val="nil"/>
              <w:bottom w:val="nil"/>
              <w:right w:val="nil"/>
            </w:tcBorders>
            <w:shd w:val="clear" w:color="auto" w:fill="auto"/>
            <w:noWrap/>
            <w:vAlign w:val="bottom"/>
            <w:hideMark/>
          </w:tcPr>
          <w:p w:rsidR="00031EBE" w:rsidRPr="00031EBE" w:rsidRDefault="00031EBE" w:rsidP="00031EBE">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rsidR="00031EBE" w:rsidRPr="00031EBE" w:rsidRDefault="00031EBE" w:rsidP="00031EBE">
            <w:pPr>
              <w:spacing w:after="0"/>
              <w:jc w:val="right"/>
              <w:rPr>
                <w:rFonts w:ascii="Arial" w:hAnsi="Arial" w:cs="Arial"/>
                <w:b/>
                <w:bCs/>
                <w:color w:val="auto"/>
                <w:sz w:val="16"/>
                <w:szCs w:val="16"/>
              </w:rPr>
            </w:pPr>
            <w:r w:rsidRPr="00031EBE">
              <w:rPr>
                <w:rFonts w:ascii="Arial" w:hAnsi="Arial" w:cs="Arial"/>
                <w:b/>
                <w:bCs/>
                <w:color w:val="auto"/>
                <w:sz w:val="16"/>
                <w:szCs w:val="16"/>
              </w:rPr>
              <w:t> </w:t>
            </w:r>
          </w:p>
        </w:tc>
      </w:tr>
      <w:tr w:rsidR="00031EBE" w:rsidRPr="00031EBE" w:rsidTr="00031EBE">
        <w:trPr>
          <w:trHeight w:val="225"/>
          <w:jc w:val="center"/>
        </w:trPr>
        <w:tc>
          <w:tcPr>
            <w:tcW w:w="4660" w:type="dxa"/>
            <w:tcBorders>
              <w:top w:val="nil"/>
              <w:left w:val="nil"/>
              <w:bottom w:val="nil"/>
              <w:right w:val="nil"/>
            </w:tcBorders>
            <w:shd w:val="clear" w:color="auto" w:fill="auto"/>
            <w:noWrap/>
            <w:vAlign w:val="bottom"/>
            <w:hideMark/>
          </w:tcPr>
          <w:p w:rsidR="00031EBE" w:rsidRPr="00031EBE" w:rsidRDefault="00031EBE" w:rsidP="00031EBE">
            <w:pPr>
              <w:spacing w:after="0"/>
              <w:ind w:firstLineChars="300" w:firstLine="480"/>
              <w:rPr>
                <w:rFonts w:ascii="Arial" w:hAnsi="Arial" w:cs="Arial"/>
                <w:color w:val="auto"/>
                <w:sz w:val="16"/>
                <w:szCs w:val="16"/>
              </w:rPr>
            </w:pPr>
            <w:r w:rsidRPr="00031EBE">
              <w:rPr>
                <w:rFonts w:ascii="Arial" w:hAnsi="Arial" w:cs="Arial"/>
                <w:color w:val="auto"/>
                <w:sz w:val="16"/>
                <w:szCs w:val="16"/>
              </w:rPr>
              <w:t>Departmental appropriation</w:t>
            </w:r>
          </w:p>
        </w:tc>
        <w:tc>
          <w:tcPr>
            <w:tcW w:w="1360" w:type="dxa"/>
            <w:tcBorders>
              <w:top w:val="nil"/>
              <w:left w:val="nil"/>
              <w:bottom w:val="nil"/>
              <w:right w:val="nil"/>
            </w:tcBorders>
            <w:shd w:val="clear" w:color="auto" w:fill="auto"/>
            <w:noWrap/>
            <w:vAlign w:val="bottom"/>
            <w:hideMark/>
          </w:tcPr>
          <w:p w:rsidR="00031EBE" w:rsidRPr="00031EBE" w:rsidRDefault="00031EBE" w:rsidP="00031EBE">
            <w:pPr>
              <w:spacing w:after="0"/>
              <w:jc w:val="right"/>
              <w:rPr>
                <w:rFonts w:ascii="Arial" w:hAnsi="Arial" w:cs="Arial"/>
                <w:color w:val="auto"/>
                <w:sz w:val="16"/>
                <w:szCs w:val="16"/>
              </w:rPr>
            </w:pPr>
            <w:r w:rsidRPr="00031EBE">
              <w:rPr>
                <w:rFonts w:ascii="Arial" w:hAnsi="Arial" w:cs="Arial"/>
                <w:color w:val="auto"/>
                <w:sz w:val="16"/>
                <w:szCs w:val="16"/>
              </w:rPr>
              <w:t>6,006</w:t>
            </w:r>
          </w:p>
        </w:tc>
        <w:tc>
          <w:tcPr>
            <w:tcW w:w="1360" w:type="dxa"/>
            <w:tcBorders>
              <w:top w:val="nil"/>
              <w:left w:val="nil"/>
              <w:bottom w:val="nil"/>
              <w:right w:val="nil"/>
            </w:tcBorders>
            <w:shd w:val="clear" w:color="000000" w:fill="D9D9D9"/>
            <w:noWrap/>
            <w:vAlign w:val="bottom"/>
            <w:hideMark/>
          </w:tcPr>
          <w:p w:rsidR="00031EBE" w:rsidRPr="00031EBE" w:rsidRDefault="00031EBE" w:rsidP="00031EBE">
            <w:pPr>
              <w:spacing w:after="0"/>
              <w:jc w:val="right"/>
              <w:rPr>
                <w:rFonts w:ascii="Arial" w:hAnsi="Arial" w:cs="Arial"/>
                <w:color w:val="auto"/>
                <w:sz w:val="16"/>
                <w:szCs w:val="16"/>
              </w:rPr>
            </w:pPr>
            <w:r w:rsidRPr="00031EBE">
              <w:rPr>
                <w:rFonts w:ascii="Arial" w:hAnsi="Arial" w:cs="Arial"/>
                <w:color w:val="auto"/>
                <w:sz w:val="16"/>
                <w:szCs w:val="16"/>
              </w:rPr>
              <w:t>9,556</w:t>
            </w:r>
          </w:p>
        </w:tc>
      </w:tr>
      <w:tr w:rsidR="00031EBE" w:rsidRPr="00031EBE" w:rsidTr="00031EBE">
        <w:trPr>
          <w:trHeight w:val="225"/>
          <w:jc w:val="center"/>
        </w:trPr>
        <w:tc>
          <w:tcPr>
            <w:tcW w:w="4660" w:type="dxa"/>
            <w:tcBorders>
              <w:top w:val="nil"/>
              <w:left w:val="nil"/>
              <w:bottom w:val="nil"/>
              <w:right w:val="nil"/>
            </w:tcBorders>
            <w:shd w:val="clear" w:color="auto" w:fill="auto"/>
            <w:noWrap/>
            <w:vAlign w:val="bottom"/>
            <w:hideMark/>
          </w:tcPr>
          <w:p w:rsidR="00031EBE" w:rsidRPr="00031EBE" w:rsidRDefault="00031EBE" w:rsidP="00031EBE">
            <w:pPr>
              <w:spacing w:after="0"/>
              <w:ind w:firstLineChars="300" w:firstLine="480"/>
              <w:rPr>
                <w:rFonts w:ascii="Arial" w:hAnsi="Arial" w:cs="Arial"/>
                <w:color w:val="auto"/>
                <w:sz w:val="16"/>
                <w:szCs w:val="16"/>
              </w:rPr>
            </w:pPr>
            <w:r w:rsidRPr="00031EBE">
              <w:rPr>
                <w:rFonts w:ascii="Arial" w:hAnsi="Arial" w:cs="Arial"/>
                <w:color w:val="auto"/>
                <w:sz w:val="16"/>
                <w:szCs w:val="16"/>
              </w:rPr>
              <w:t>s74 retained revenue receipts</w:t>
            </w:r>
            <w:r w:rsidRPr="00031EBE">
              <w:rPr>
                <w:rFonts w:ascii="Arial" w:hAnsi="Arial" w:cs="Arial"/>
                <w:color w:val="auto"/>
                <w:sz w:val="16"/>
                <w:szCs w:val="16"/>
                <w:vertAlign w:val="superscript"/>
              </w:rPr>
              <w:t xml:space="preserve"> (b)</w:t>
            </w:r>
          </w:p>
        </w:tc>
        <w:tc>
          <w:tcPr>
            <w:tcW w:w="1360" w:type="dxa"/>
            <w:tcBorders>
              <w:top w:val="nil"/>
              <w:left w:val="nil"/>
              <w:bottom w:val="nil"/>
              <w:right w:val="nil"/>
            </w:tcBorders>
            <w:shd w:val="clear" w:color="auto" w:fill="auto"/>
            <w:noWrap/>
            <w:vAlign w:val="bottom"/>
            <w:hideMark/>
          </w:tcPr>
          <w:p w:rsidR="00031EBE" w:rsidRPr="00031EBE" w:rsidRDefault="00031EBE" w:rsidP="00031EBE">
            <w:pPr>
              <w:spacing w:after="0"/>
              <w:jc w:val="right"/>
              <w:rPr>
                <w:rFonts w:ascii="Arial" w:hAnsi="Arial" w:cs="Arial"/>
                <w:color w:val="auto"/>
                <w:sz w:val="16"/>
                <w:szCs w:val="16"/>
              </w:rPr>
            </w:pPr>
            <w:r w:rsidRPr="00031EBE">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rsidR="00031EBE" w:rsidRPr="00031EBE" w:rsidRDefault="00031EBE" w:rsidP="00031EBE">
            <w:pPr>
              <w:spacing w:after="0"/>
              <w:jc w:val="right"/>
              <w:rPr>
                <w:rFonts w:ascii="Arial" w:hAnsi="Arial" w:cs="Arial"/>
                <w:color w:val="auto"/>
                <w:sz w:val="16"/>
                <w:szCs w:val="16"/>
              </w:rPr>
            </w:pPr>
            <w:r w:rsidRPr="00031EBE">
              <w:rPr>
                <w:rFonts w:ascii="Arial" w:hAnsi="Arial" w:cs="Arial"/>
                <w:color w:val="auto"/>
                <w:sz w:val="16"/>
                <w:szCs w:val="16"/>
              </w:rPr>
              <w:t>-</w:t>
            </w:r>
          </w:p>
        </w:tc>
      </w:tr>
      <w:tr w:rsidR="00031EBE" w:rsidRPr="00031EBE" w:rsidTr="00031EBE">
        <w:trPr>
          <w:trHeight w:val="225"/>
          <w:jc w:val="center"/>
        </w:trPr>
        <w:tc>
          <w:tcPr>
            <w:tcW w:w="4660" w:type="dxa"/>
            <w:tcBorders>
              <w:top w:val="nil"/>
              <w:left w:val="nil"/>
              <w:bottom w:val="nil"/>
              <w:right w:val="nil"/>
            </w:tcBorders>
            <w:shd w:val="clear" w:color="auto" w:fill="auto"/>
            <w:noWrap/>
            <w:vAlign w:val="bottom"/>
            <w:hideMark/>
          </w:tcPr>
          <w:p w:rsidR="00031EBE" w:rsidRPr="00031EBE" w:rsidRDefault="00031EBE" w:rsidP="00031EBE">
            <w:pPr>
              <w:spacing w:after="0"/>
              <w:ind w:firstLineChars="300" w:firstLine="480"/>
              <w:rPr>
                <w:rFonts w:ascii="Arial" w:hAnsi="Arial" w:cs="Arial"/>
                <w:color w:val="auto"/>
                <w:sz w:val="16"/>
                <w:szCs w:val="16"/>
              </w:rPr>
            </w:pPr>
            <w:r w:rsidRPr="00031EBE">
              <w:rPr>
                <w:rFonts w:ascii="Arial" w:hAnsi="Arial" w:cs="Arial"/>
                <w:color w:val="auto"/>
                <w:sz w:val="16"/>
                <w:szCs w:val="16"/>
              </w:rPr>
              <w:t xml:space="preserve">Departmental Capital Budget </w:t>
            </w:r>
            <w:r w:rsidRPr="00031EBE">
              <w:rPr>
                <w:rFonts w:ascii="Arial" w:hAnsi="Arial" w:cs="Arial"/>
                <w:color w:val="auto"/>
                <w:sz w:val="16"/>
                <w:szCs w:val="16"/>
                <w:vertAlign w:val="superscript"/>
              </w:rPr>
              <w:t>(c)</w:t>
            </w:r>
          </w:p>
        </w:tc>
        <w:tc>
          <w:tcPr>
            <w:tcW w:w="1360" w:type="dxa"/>
            <w:tcBorders>
              <w:top w:val="nil"/>
              <w:left w:val="nil"/>
              <w:bottom w:val="nil"/>
              <w:right w:val="nil"/>
            </w:tcBorders>
            <w:shd w:val="clear" w:color="auto" w:fill="auto"/>
            <w:noWrap/>
            <w:vAlign w:val="bottom"/>
            <w:hideMark/>
          </w:tcPr>
          <w:p w:rsidR="00031EBE" w:rsidRPr="00031EBE" w:rsidRDefault="00031EBE" w:rsidP="00031EBE">
            <w:pPr>
              <w:spacing w:after="0"/>
              <w:jc w:val="right"/>
              <w:rPr>
                <w:rFonts w:ascii="Arial" w:hAnsi="Arial" w:cs="Arial"/>
                <w:color w:val="auto"/>
                <w:sz w:val="16"/>
                <w:szCs w:val="16"/>
              </w:rPr>
            </w:pPr>
            <w:r w:rsidRPr="00031EBE">
              <w:rPr>
                <w:rFonts w:ascii="Arial" w:hAnsi="Arial" w:cs="Arial"/>
                <w:color w:val="auto"/>
                <w:sz w:val="16"/>
                <w:szCs w:val="16"/>
              </w:rPr>
              <w:t>62</w:t>
            </w:r>
          </w:p>
        </w:tc>
        <w:tc>
          <w:tcPr>
            <w:tcW w:w="1360" w:type="dxa"/>
            <w:tcBorders>
              <w:top w:val="nil"/>
              <w:left w:val="nil"/>
              <w:bottom w:val="nil"/>
              <w:right w:val="nil"/>
            </w:tcBorders>
            <w:shd w:val="clear" w:color="000000" w:fill="D9D9D9"/>
            <w:noWrap/>
            <w:vAlign w:val="bottom"/>
            <w:hideMark/>
          </w:tcPr>
          <w:p w:rsidR="00031EBE" w:rsidRPr="00031EBE" w:rsidRDefault="00031EBE" w:rsidP="00031EBE">
            <w:pPr>
              <w:spacing w:after="0"/>
              <w:jc w:val="right"/>
              <w:rPr>
                <w:rFonts w:ascii="Arial" w:hAnsi="Arial" w:cs="Arial"/>
                <w:color w:val="auto"/>
                <w:sz w:val="16"/>
                <w:szCs w:val="16"/>
              </w:rPr>
            </w:pPr>
            <w:r w:rsidRPr="00031EBE">
              <w:rPr>
                <w:rFonts w:ascii="Arial" w:hAnsi="Arial" w:cs="Arial"/>
                <w:color w:val="auto"/>
                <w:sz w:val="16"/>
                <w:szCs w:val="16"/>
              </w:rPr>
              <w:t>29</w:t>
            </w:r>
          </w:p>
        </w:tc>
      </w:tr>
      <w:tr w:rsidR="00031EBE" w:rsidRPr="00031EBE" w:rsidTr="00031EBE">
        <w:trPr>
          <w:trHeight w:val="225"/>
          <w:jc w:val="center"/>
        </w:trPr>
        <w:tc>
          <w:tcPr>
            <w:tcW w:w="4660" w:type="dxa"/>
            <w:tcBorders>
              <w:top w:val="nil"/>
              <w:left w:val="nil"/>
              <w:bottom w:val="nil"/>
              <w:right w:val="nil"/>
            </w:tcBorders>
            <w:shd w:val="clear" w:color="auto" w:fill="auto"/>
            <w:noWrap/>
            <w:vAlign w:val="bottom"/>
            <w:hideMark/>
          </w:tcPr>
          <w:p w:rsidR="00031EBE" w:rsidRPr="00031EBE" w:rsidRDefault="00031EBE" w:rsidP="00031EBE">
            <w:pPr>
              <w:spacing w:after="0"/>
              <w:ind w:firstLineChars="200" w:firstLine="320"/>
              <w:rPr>
                <w:rFonts w:ascii="Arial" w:hAnsi="Arial" w:cs="Arial"/>
                <w:color w:val="auto"/>
                <w:sz w:val="16"/>
                <w:szCs w:val="16"/>
              </w:rPr>
            </w:pPr>
            <w:r w:rsidRPr="00031EBE">
              <w:rPr>
                <w:rFonts w:ascii="Arial" w:hAnsi="Arial" w:cs="Arial"/>
                <w:color w:val="auto"/>
                <w:sz w:val="16"/>
                <w:szCs w:val="16"/>
              </w:rPr>
              <w:t xml:space="preserve">Other services </w:t>
            </w:r>
            <w:r w:rsidRPr="00031EBE">
              <w:rPr>
                <w:rFonts w:ascii="Arial" w:hAnsi="Arial" w:cs="Arial"/>
                <w:color w:val="auto"/>
                <w:sz w:val="16"/>
                <w:szCs w:val="16"/>
                <w:vertAlign w:val="superscript"/>
              </w:rPr>
              <w:t>(d)</w:t>
            </w:r>
          </w:p>
        </w:tc>
        <w:tc>
          <w:tcPr>
            <w:tcW w:w="1360" w:type="dxa"/>
            <w:tcBorders>
              <w:top w:val="nil"/>
              <w:left w:val="nil"/>
              <w:bottom w:val="nil"/>
              <w:right w:val="nil"/>
            </w:tcBorders>
            <w:shd w:val="clear" w:color="auto" w:fill="auto"/>
            <w:noWrap/>
            <w:vAlign w:val="bottom"/>
            <w:hideMark/>
          </w:tcPr>
          <w:p w:rsidR="00031EBE" w:rsidRPr="00031EBE" w:rsidRDefault="00031EBE" w:rsidP="00031EBE">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rsidR="00031EBE" w:rsidRPr="00031EBE" w:rsidRDefault="00031EBE" w:rsidP="00031EBE">
            <w:pPr>
              <w:spacing w:after="0"/>
              <w:jc w:val="right"/>
              <w:rPr>
                <w:rFonts w:ascii="Arial" w:hAnsi="Arial" w:cs="Arial"/>
                <w:color w:val="auto"/>
                <w:sz w:val="16"/>
                <w:szCs w:val="16"/>
              </w:rPr>
            </w:pPr>
            <w:r w:rsidRPr="00031EBE">
              <w:rPr>
                <w:rFonts w:ascii="Arial" w:hAnsi="Arial" w:cs="Arial"/>
                <w:color w:val="auto"/>
                <w:sz w:val="16"/>
                <w:szCs w:val="16"/>
              </w:rPr>
              <w:t> </w:t>
            </w:r>
          </w:p>
        </w:tc>
      </w:tr>
      <w:tr w:rsidR="00031EBE" w:rsidRPr="00031EBE" w:rsidTr="00031EBE">
        <w:trPr>
          <w:trHeight w:val="225"/>
          <w:jc w:val="center"/>
        </w:trPr>
        <w:tc>
          <w:tcPr>
            <w:tcW w:w="4660" w:type="dxa"/>
            <w:tcBorders>
              <w:top w:val="nil"/>
              <w:left w:val="nil"/>
              <w:bottom w:val="nil"/>
              <w:right w:val="nil"/>
            </w:tcBorders>
            <w:shd w:val="clear" w:color="auto" w:fill="auto"/>
            <w:noWrap/>
            <w:vAlign w:val="bottom"/>
            <w:hideMark/>
          </w:tcPr>
          <w:p w:rsidR="00031EBE" w:rsidRPr="00031EBE" w:rsidRDefault="00031EBE" w:rsidP="00031EBE">
            <w:pPr>
              <w:spacing w:after="0"/>
              <w:ind w:firstLineChars="300" w:firstLine="480"/>
              <w:rPr>
                <w:rFonts w:ascii="Arial" w:hAnsi="Arial" w:cs="Arial"/>
                <w:color w:val="auto"/>
                <w:sz w:val="16"/>
                <w:szCs w:val="16"/>
              </w:rPr>
            </w:pPr>
            <w:r w:rsidRPr="00031EBE">
              <w:rPr>
                <w:rFonts w:ascii="Arial" w:hAnsi="Arial" w:cs="Arial"/>
                <w:color w:val="auto"/>
                <w:sz w:val="16"/>
                <w:szCs w:val="16"/>
              </w:rPr>
              <w:t>Equity injection</w:t>
            </w:r>
          </w:p>
        </w:tc>
        <w:tc>
          <w:tcPr>
            <w:tcW w:w="1360" w:type="dxa"/>
            <w:tcBorders>
              <w:top w:val="nil"/>
              <w:left w:val="nil"/>
              <w:bottom w:val="nil"/>
              <w:right w:val="nil"/>
            </w:tcBorders>
            <w:shd w:val="clear" w:color="auto" w:fill="auto"/>
            <w:noWrap/>
            <w:vAlign w:val="bottom"/>
            <w:hideMark/>
          </w:tcPr>
          <w:p w:rsidR="00031EBE" w:rsidRPr="00031EBE" w:rsidRDefault="00031EBE" w:rsidP="00031EBE">
            <w:pPr>
              <w:spacing w:after="0"/>
              <w:jc w:val="right"/>
              <w:rPr>
                <w:rFonts w:ascii="Arial" w:hAnsi="Arial" w:cs="Arial"/>
                <w:color w:val="auto"/>
                <w:sz w:val="16"/>
                <w:szCs w:val="16"/>
              </w:rPr>
            </w:pPr>
            <w:r w:rsidRPr="00031EBE">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rsidR="00031EBE" w:rsidRPr="00031EBE" w:rsidRDefault="00031EBE" w:rsidP="00031EBE">
            <w:pPr>
              <w:spacing w:after="0"/>
              <w:jc w:val="right"/>
              <w:rPr>
                <w:rFonts w:ascii="Arial" w:hAnsi="Arial" w:cs="Arial"/>
                <w:color w:val="auto"/>
                <w:sz w:val="16"/>
                <w:szCs w:val="16"/>
              </w:rPr>
            </w:pPr>
            <w:r w:rsidRPr="00031EBE">
              <w:rPr>
                <w:rFonts w:ascii="Arial" w:hAnsi="Arial" w:cs="Arial"/>
                <w:color w:val="auto"/>
                <w:sz w:val="16"/>
                <w:szCs w:val="16"/>
              </w:rPr>
              <w:t>-</w:t>
            </w:r>
          </w:p>
        </w:tc>
      </w:tr>
      <w:tr w:rsidR="00031EBE" w:rsidRPr="00031EBE" w:rsidTr="00DD6038">
        <w:trPr>
          <w:trHeight w:val="227"/>
          <w:jc w:val="center"/>
        </w:trPr>
        <w:tc>
          <w:tcPr>
            <w:tcW w:w="4660" w:type="dxa"/>
            <w:tcBorders>
              <w:top w:val="nil"/>
              <w:left w:val="nil"/>
              <w:bottom w:val="nil"/>
              <w:right w:val="nil"/>
            </w:tcBorders>
            <w:shd w:val="clear" w:color="auto" w:fill="auto"/>
            <w:noWrap/>
            <w:vAlign w:val="bottom"/>
            <w:hideMark/>
          </w:tcPr>
          <w:p w:rsidR="00031EBE" w:rsidRPr="00031EBE" w:rsidRDefault="00031EBE" w:rsidP="001B17A0">
            <w:pPr>
              <w:spacing w:after="0"/>
              <w:ind w:firstLineChars="200" w:firstLine="320"/>
              <w:rPr>
                <w:rFonts w:ascii="Arial" w:hAnsi="Arial" w:cs="Arial"/>
                <w:b/>
                <w:bCs/>
                <w:color w:val="auto"/>
                <w:sz w:val="16"/>
                <w:szCs w:val="16"/>
              </w:rPr>
            </w:pPr>
            <w:r w:rsidRPr="00031EBE">
              <w:rPr>
                <w:rFonts w:ascii="Arial" w:hAnsi="Arial" w:cs="Arial"/>
                <w:b/>
                <w:bCs/>
                <w:color w:val="auto"/>
                <w:sz w:val="16"/>
                <w:szCs w:val="16"/>
              </w:rPr>
              <w:t>Total departmental annual appropriations</w:t>
            </w:r>
          </w:p>
        </w:tc>
        <w:tc>
          <w:tcPr>
            <w:tcW w:w="1360" w:type="dxa"/>
            <w:tcBorders>
              <w:top w:val="nil"/>
              <w:left w:val="nil"/>
              <w:bottom w:val="single" w:sz="4" w:space="0" w:color="auto"/>
              <w:right w:val="nil"/>
            </w:tcBorders>
            <w:shd w:val="clear" w:color="auto" w:fill="auto"/>
            <w:noWrap/>
            <w:vAlign w:val="bottom"/>
            <w:hideMark/>
          </w:tcPr>
          <w:p w:rsidR="00031EBE" w:rsidRPr="00031EBE" w:rsidRDefault="00031EBE" w:rsidP="00031EBE">
            <w:pPr>
              <w:spacing w:after="0"/>
              <w:jc w:val="right"/>
              <w:rPr>
                <w:rFonts w:ascii="Arial" w:hAnsi="Arial" w:cs="Arial"/>
                <w:b/>
                <w:bCs/>
                <w:color w:val="auto"/>
                <w:sz w:val="16"/>
                <w:szCs w:val="16"/>
              </w:rPr>
            </w:pPr>
            <w:r w:rsidRPr="00031EBE">
              <w:rPr>
                <w:rFonts w:ascii="Arial" w:hAnsi="Arial" w:cs="Arial"/>
                <w:b/>
                <w:bCs/>
                <w:color w:val="auto"/>
                <w:sz w:val="16"/>
                <w:szCs w:val="16"/>
              </w:rPr>
              <w:t>6,068</w:t>
            </w:r>
          </w:p>
        </w:tc>
        <w:tc>
          <w:tcPr>
            <w:tcW w:w="1360" w:type="dxa"/>
            <w:tcBorders>
              <w:top w:val="nil"/>
              <w:left w:val="nil"/>
              <w:bottom w:val="single" w:sz="4" w:space="0" w:color="auto"/>
              <w:right w:val="nil"/>
            </w:tcBorders>
            <w:shd w:val="clear" w:color="000000" w:fill="D9D9D9"/>
            <w:noWrap/>
            <w:vAlign w:val="bottom"/>
            <w:hideMark/>
          </w:tcPr>
          <w:p w:rsidR="00031EBE" w:rsidRPr="00031EBE" w:rsidRDefault="00031EBE" w:rsidP="00031EBE">
            <w:pPr>
              <w:spacing w:after="0"/>
              <w:jc w:val="right"/>
              <w:rPr>
                <w:rFonts w:ascii="Arial" w:hAnsi="Arial" w:cs="Arial"/>
                <w:b/>
                <w:bCs/>
                <w:color w:val="auto"/>
                <w:sz w:val="16"/>
                <w:szCs w:val="16"/>
              </w:rPr>
            </w:pPr>
            <w:r w:rsidRPr="00031EBE">
              <w:rPr>
                <w:rFonts w:ascii="Arial" w:hAnsi="Arial" w:cs="Arial"/>
                <w:b/>
                <w:bCs/>
                <w:color w:val="auto"/>
                <w:sz w:val="16"/>
                <w:szCs w:val="16"/>
              </w:rPr>
              <w:t>9,585</w:t>
            </w:r>
          </w:p>
        </w:tc>
      </w:tr>
      <w:tr w:rsidR="00031EBE" w:rsidRPr="00031EBE" w:rsidTr="00DD6038">
        <w:trPr>
          <w:trHeight w:val="227"/>
          <w:jc w:val="center"/>
        </w:trPr>
        <w:tc>
          <w:tcPr>
            <w:tcW w:w="4660" w:type="dxa"/>
            <w:tcBorders>
              <w:top w:val="nil"/>
              <w:left w:val="nil"/>
              <w:bottom w:val="nil"/>
              <w:right w:val="nil"/>
            </w:tcBorders>
            <w:shd w:val="clear" w:color="auto" w:fill="auto"/>
            <w:noWrap/>
            <w:vAlign w:val="bottom"/>
            <w:hideMark/>
          </w:tcPr>
          <w:p w:rsidR="00031EBE" w:rsidRPr="00031EBE" w:rsidRDefault="00031EBE" w:rsidP="001B17A0">
            <w:pPr>
              <w:spacing w:after="0"/>
              <w:ind w:firstLineChars="100" w:firstLine="160"/>
              <w:rPr>
                <w:rFonts w:ascii="Arial" w:hAnsi="Arial" w:cs="Arial"/>
                <w:b/>
                <w:bCs/>
                <w:color w:val="auto"/>
                <w:sz w:val="16"/>
                <w:szCs w:val="16"/>
              </w:rPr>
            </w:pPr>
            <w:r w:rsidRPr="00031EBE">
              <w:rPr>
                <w:rFonts w:ascii="Arial" w:hAnsi="Arial" w:cs="Arial"/>
                <w:b/>
                <w:bCs/>
                <w:color w:val="auto"/>
                <w:sz w:val="16"/>
                <w:szCs w:val="16"/>
              </w:rPr>
              <w:t>Total departmental resourcing</w:t>
            </w:r>
          </w:p>
        </w:tc>
        <w:tc>
          <w:tcPr>
            <w:tcW w:w="1360" w:type="dxa"/>
            <w:tcBorders>
              <w:top w:val="nil"/>
              <w:left w:val="nil"/>
              <w:bottom w:val="single" w:sz="4" w:space="0" w:color="auto"/>
              <w:right w:val="nil"/>
            </w:tcBorders>
            <w:shd w:val="clear" w:color="auto" w:fill="auto"/>
            <w:noWrap/>
            <w:vAlign w:val="bottom"/>
            <w:hideMark/>
          </w:tcPr>
          <w:p w:rsidR="00031EBE" w:rsidRPr="00031EBE" w:rsidRDefault="00031EBE" w:rsidP="00031EBE">
            <w:pPr>
              <w:spacing w:after="0"/>
              <w:jc w:val="right"/>
              <w:rPr>
                <w:rFonts w:ascii="Arial" w:hAnsi="Arial" w:cs="Arial"/>
                <w:b/>
                <w:bCs/>
                <w:color w:val="auto"/>
                <w:sz w:val="16"/>
                <w:szCs w:val="16"/>
              </w:rPr>
            </w:pPr>
            <w:r w:rsidRPr="00031EBE">
              <w:rPr>
                <w:rFonts w:ascii="Arial" w:hAnsi="Arial" w:cs="Arial"/>
                <w:b/>
                <w:bCs/>
                <w:color w:val="auto"/>
                <w:sz w:val="16"/>
                <w:szCs w:val="16"/>
              </w:rPr>
              <w:t>8,342</w:t>
            </w:r>
          </w:p>
        </w:tc>
        <w:tc>
          <w:tcPr>
            <w:tcW w:w="1360" w:type="dxa"/>
            <w:tcBorders>
              <w:top w:val="nil"/>
              <w:left w:val="nil"/>
              <w:bottom w:val="single" w:sz="4" w:space="0" w:color="auto"/>
              <w:right w:val="nil"/>
            </w:tcBorders>
            <w:shd w:val="clear" w:color="000000" w:fill="D9D9D9"/>
            <w:noWrap/>
            <w:vAlign w:val="bottom"/>
            <w:hideMark/>
          </w:tcPr>
          <w:p w:rsidR="00031EBE" w:rsidRPr="00031EBE" w:rsidRDefault="00031EBE" w:rsidP="00031EBE">
            <w:pPr>
              <w:spacing w:after="0"/>
              <w:jc w:val="right"/>
              <w:rPr>
                <w:rFonts w:ascii="Arial" w:hAnsi="Arial" w:cs="Arial"/>
                <w:b/>
                <w:bCs/>
                <w:color w:val="auto"/>
                <w:sz w:val="16"/>
                <w:szCs w:val="16"/>
              </w:rPr>
            </w:pPr>
            <w:r w:rsidRPr="00031EBE">
              <w:rPr>
                <w:rFonts w:ascii="Arial" w:hAnsi="Arial" w:cs="Arial"/>
                <w:b/>
                <w:bCs/>
                <w:color w:val="auto"/>
                <w:sz w:val="16"/>
                <w:szCs w:val="16"/>
              </w:rPr>
              <w:t>11,861</w:t>
            </w:r>
          </w:p>
        </w:tc>
      </w:tr>
      <w:tr w:rsidR="00031EBE" w:rsidRPr="00031EBE" w:rsidTr="00DD6038">
        <w:trPr>
          <w:trHeight w:val="227"/>
          <w:jc w:val="center"/>
        </w:trPr>
        <w:tc>
          <w:tcPr>
            <w:tcW w:w="4660" w:type="dxa"/>
            <w:tcBorders>
              <w:top w:val="nil"/>
              <w:left w:val="nil"/>
              <w:bottom w:val="single" w:sz="4" w:space="0" w:color="auto"/>
              <w:right w:val="nil"/>
            </w:tcBorders>
            <w:shd w:val="clear" w:color="auto" w:fill="auto"/>
            <w:noWrap/>
            <w:vAlign w:val="bottom"/>
            <w:hideMark/>
          </w:tcPr>
          <w:p w:rsidR="00031EBE" w:rsidRPr="00031EBE" w:rsidRDefault="00031EBE" w:rsidP="00031EBE">
            <w:pPr>
              <w:spacing w:after="0"/>
              <w:rPr>
                <w:rFonts w:ascii="Arial" w:hAnsi="Arial" w:cs="Arial"/>
                <w:b/>
                <w:bCs/>
                <w:color w:val="auto"/>
                <w:sz w:val="16"/>
                <w:szCs w:val="16"/>
              </w:rPr>
            </w:pPr>
            <w:r w:rsidRPr="00031EBE">
              <w:rPr>
                <w:rFonts w:ascii="Arial" w:hAnsi="Arial" w:cs="Arial"/>
                <w:b/>
                <w:bCs/>
                <w:color w:val="auto"/>
                <w:sz w:val="16"/>
                <w:szCs w:val="16"/>
              </w:rPr>
              <w:t>Total resourcing for PSR</w:t>
            </w:r>
          </w:p>
        </w:tc>
        <w:tc>
          <w:tcPr>
            <w:tcW w:w="1360" w:type="dxa"/>
            <w:tcBorders>
              <w:top w:val="nil"/>
              <w:left w:val="nil"/>
              <w:bottom w:val="single" w:sz="4" w:space="0" w:color="auto"/>
              <w:right w:val="nil"/>
            </w:tcBorders>
            <w:shd w:val="clear" w:color="auto" w:fill="auto"/>
            <w:noWrap/>
            <w:vAlign w:val="bottom"/>
            <w:hideMark/>
          </w:tcPr>
          <w:p w:rsidR="00031EBE" w:rsidRPr="00031EBE" w:rsidRDefault="00031EBE" w:rsidP="00031EBE">
            <w:pPr>
              <w:spacing w:after="0"/>
              <w:jc w:val="right"/>
              <w:rPr>
                <w:rFonts w:ascii="Arial" w:hAnsi="Arial" w:cs="Arial"/>
                <w:b/>
                <w:bCs/>
                <w:color w:val="auto"/>
                <w:sz w:val="16"/>
                <w:szCs w:val="16"/>
              </w:rPr>
            </w:pPr>
            <w:r w:rsidRPr="00031EBE">
              <w:rPr>
                <w:rFonts w:ascii="Arial" w:hAnsi="Arial" w:cs="Arial"/>
                <w:b/>
                <w:bCs/>
                <w:color w:val="auto"/>
                <w:sz w:val="16"/>
                <w:szCs w:val="16"/>
              </w:rPr>
              <w:t>8,342</w:t>
            </w:r>
          </w:p>
        </w:tc>
        <w:tc>
          <w:tcPr>
            <w:tcW w:w="1360" w:type="dxa"/>
            <w:tcBorders>
              <w:top w:val="nil"/>
              <w:left w:val="nil"/>
              <w:bottom w:val="single" w:sz="4" w:space="0" w:color="auto"/>
              <w:right w:val="nil"/>
            </w:tcBorders>
            <w:shd w:val="clear" w:color="000000" w:fill="D9D9D9"/>
            <w:noWrap/>
            <w:vAlign w:val="bottom"/>
            <w:hideMark/>
          </w:tcPr>
          <w:p w:rsidR="00031EBE" w:rsidRPr="00031EBE" w:rsidRDefault="00031EBE" w:rsidP="00031EBE">
            <w:pPr>
              <w:spacing w:after="0"/>
              <w:jc w:val="right"/>
              <w:rPr>
                <w:rFonts w:ascii="Arial" w:hAnsi="Arial" w:cs="Arial"/>
                <w:b/>
                <w:bCs/>
                <w:color w:val="auto"/>
                <w:sz w:val="16"/>
                <w:szCs w:val="16"/>
              </w:rPr>
            </w:pPr>
            <w:r w:rsidRPr="00031EBE">
              <w:rPr>
                <w:rFonts w:ascii="Arial" w:hAnsi="Arial" w:cs="Arial"/>
                <w:b/>
                <w:bCs/>
                <w:color w:val="auto"/>
                <w:sz w:val="16"/>
                <w:szCs w:val="16"/>
              </w:rPr>
              <w:t>11,861</w:t>
            </w:r>
          </w:p>
        </w:tc>
      </w:tr>
      <w:tr w:rsidR="00031EBE" w:rsidRPr="00031EBE" w:rsidTr="006659AB">
        <w:trPr>
          <w:trHeight w:val="227"/>
          <w:jc w:val="center"/>
        </w:trPr>
        <w:tc>
          <w:tcPr>
            <w:tcW w:w="4660" w:type="dxa"/>
            <w:tcBorders>
              <w:top w:val="nil"/>
              <w:left w:val="nil"/>
              <w:right w:val="nil"/>
            </w:tcBorders>
            <w:shd w:val="clear" w:color="auto" w:fill="auto"/>
            <w:noWrap/>
            <w:vAlign w:val="bottom"/>
            <w:hideMark/>
          </w:tcPr>
          <w:p w:rsidR="00031EBE" w:rsidRPr="00031EBE" w:rsidRDefault="00031EBE" w:rsidP="00031EBE">
            <w:pPr>
              <w:spacing w:after="0"/>
              <w:jc w:val="right"/>
              <w:rPr>
                <w:rFonts w:ascii="Arial" w:hAnsi="Arial" w:cs="Arial"/>
                <w:b/>
                <w:bCs/>
                <w:color w:val="auto"/>
                <w:sz w:val="10"/>
                <w:szCs w:val="16"/>
              </w:rPr>
            </w:pPr>
          </w:p>
        </w:tc>
        <w:tc>
          <w:tcPr>
            <w:tcW w:w="1360" w:type="dxa"/>
            <w:tcBorders>
              <w:top w:val="nil"/>
              <w:left w:val="nil"/>
              <w:bottom w:val="nil"/>
              <w:right w:val="nil"/>
            </w:tcBorders>
            <w:shd w:val="clear" w:color="auto" w:fill="auto"/>
            <w:noWrap/>
            <w:vAlign w:val="bottom"/>
            <w:hideMark/>
          </w:tcPr>
          <w:p w:rsidR="00031EBE" w:rsidRPr="00031EBE" w:rsidRDefault="00031EBE" w:rsidP="00031EBE">
            <w:pPr>
              <w:spacing w:after="0"/>
              <w:rPr>
                <w:rFonts w:ascii="Times New Roman" w:hAnsi="Times New Roman"/>
                <w:color w:val="auto"/>
                <w:sz w:val="10"/>
              </w:rPr>
            </w:pPr>
          </w:p>
        </w:tc>
        <w:tc>
          <w:tcPr>
            <w:tcW w:w="1360" w:type="dxa"/>
            <w:tcBorders>
              <w:top w:val="nil"/>
              <w:left w:val="nil"/>
              <w:bottom w:val="nil"/>
              <w:right w:val="nil"/>
            </w:tcBorders>
            <w:shd w:val="clear" w:color="auto" w:fill="auto"/>
            <w:noWrap/>
            <w:vAlign w:val="bottom"/>
            <w:hideMark/>
          </w:tcPr>
          <w:p w:rsidR="00031EBE" w:rsidRPr="00031EBE" w:rsidRDefault="00031EBE" w:rsidP="00031EBE">
            <w:pPr>
              <w:spacing w:after="0"/>
              <w:rPr>
                <w:rFonts w:ascii="Times New Roman" w:hAnsi="Times New Roman"/>
                <w:color w:val="auto"/>
                <w:sz w:val="10"/>
              </w:rPr>
            </w:pPr>
          </w:p>
        </w:tc>
      </w:tr>
      <w:tr w:rsidR="00031EBE" w:rsidRPr="00031EBE" w:rsidTr="00031EBE">
        <w:trPr>
          <w:trHeight w:val="225"/>
          <w:jc w:val="center"/>
        </w:trPr>
        <w:tc>
          <w:tcPr>
            <w:tcW w:w="4660" w:type="dxa"/>
            <w:tcBorders>
              <w:left w:val="nil"/>
              <w:bottom w:val="nil"/>
              <w:right w:val="nil"/>
            </w:tcBorders>
            <w:shd w:val="clear" w:color="auto" w:fill="auto"/>
            <w:noWrap/>
            <w:vAlign w:val="bottom"/>
            <w:hideMark/>
          </w:tcPr>
          <w:p w:rsidR="00031EBE" w:rsidRPr="00031EBE" w:rsidRDefault="00031EBE" w:rsidP="00031EBE">
            <w:pPr>
              <w:spacing w:after="0"/>
              <w:jc w:val="right"/>
              <w:rPr>
                <w:rFonts w:ascii="Arial" w:hAnsi="Arial" w:cs="Arial"/>
                <w:sz w:val="16"/>
                <w:szCs w:val="16"/>
              </w:rPr>
            </w:pPr>
            <w:r w:rsidRPr="00031EBE">
              <w:rPr>
                <w:rFonts w:ascii="Arial" w:hAnsi="Arial" w:cs="Arial"/>
                <w:sz w:val="16"/>
                <w:szCs w:val="16"/>
              </w:rPr>
              <w:t> </w:t>
            </w:r>
          </w:p>
        </w:tc>
        <w:tc>
          <w:tcPr>
            <w:tcW w:w="1360" w:type="dxa"/>
            <w:tcBorders>
              <w:top w:val="single" w:sz="4" w:space="0" w:color="auto"/>
              <w:left w:val="nil"/>
              <w:bottom w:val="nil"/>
              <w:right w:val="nil"/>
            </w:tcBorders>
            <w:shd w:val="clear" w:color="auto" w:fill="auto"/>
            <w:noWrap/>
            <w:hideMark/>
          </w:tcPr>
          <w:p w:rsidR="00031EBE" w:rsidRPr="00031EBE" w:rsidRDefault="009422A1" w:rsidP="00031EBE">
            <w:pPr>
              <w:spacing w:before="40" w:after="0"/>
              <w:jc w:val="right"/>
              <w:rPr>
                <w:rFonts w:ascii="Arial" w:hAnsi="Arial" w:cs="Arial"/>
                <w:b/>
                <w:bCs/>
                <w:color w:val="auto"/>
                <w:sz w:val="16"/>
                <w:szCs w:val="16"/>
              </w:rPr>
            </w:pPr>
            <w:r>
              <w:rPr>
                <w:rFonts w:ascii="Arial" w:hAnsi="Arial" w:cs="Arial"/>
                <w:b/>
                <w:bCs/>
                <w:color w:val="auto"/>
                <w:sz w:val="16"/>
                <w:szCs w:val="16"/>
              </w:rPr>
              <w:t>2018</w:t>
            </w:r>
            <w:r w:rsidR="00031EBE" w:rsidRPr="00031EBE">
              <w:rPr>
                <w:rFonts w:ascii="Arial" w:hAnsi="Arial" w:cs="Arial"/>
                <w:b/>
                <w:bCs/>
                <w:color w:val="auto"/>
                <w:sz w:val="16"/>
                <w:szCs w:val="16"/>
              </w:rPr>
              <w:t>-1</w:t>
            </w:r>
            <w:r>
              <w:rPr>
                <w:rFonts w:ascii="Arial" w:hAnsi="Arial" w:cs="Arial"/>
                <w:b/>
                <w:bCs/>
                <w:color w:val="auto"/>
                <w:sz w:val="16"/>
                <w:szCs w:val="16"/>
              </w:rPr>
              <w:t>9</w:t>
            </w:r>
          </w:p>
        </w:tc>
        <w:tc>
          <w:tcPr>
            <w:tcW w:w="1360" w:type="dxa"/>
            <w:tcBorders>
              <w:top w:val="single" w:sz="4" w:space="0" w:color="auto"/>
              <w:left w:val="nil"/>
              <w:bottom w:val="nil"/>
              <w:right w:val="nil"/>
            </w:tcBorders>
            <w:shd w:val="clear" w:color="000000" w:fill="D9D9D9"/>
            <w:noWrap/>
            <w:hideMark/>
          </w:tcPr>
          <w:p w:rsidR="00031EBE" w:rsidRPr="00031EBE" w:rsidRDefault="009422A1" w:rsidP="00031EBE">
            <w:pPr>
              <w:spacing w:before="40" w:after="0"/>
              <w:jc w:val="right"/>
              <w:rPr>
                <w:rFonts w:ascii="Arial" w:hAnsi="Arial" w:cs="Arial"/>
                <w:b/>
                <w:bCs/>
                <w:color w:val="auto"/>
                <w:sz w:val="16"/>
                <w:szCs w:val="16"/>
              </w:rPr>
            </w:pPr>
            <w:r>
              <w:rPr>
                <w:rFonts w:ascii="Arial" w:hAnsi="Arial" w:cs="Arial"/>
                <w:b/>
                <w:bCs/>
                <w:color w:val="auto"/>
                <w:sz w:val="16"/>
                <w:szCs w:val="16"/>
              </w:rPr>
              <w:t>2019-20</w:t>
            </w:r>
          </w:p>
        </w:tc>
      </w:tr>
      <w:tr w:rsidR="00031EBE" w:rsidRPr="00031EBE" w:rsidTr="00031EBE">
        <w:trPr>
          <w:trHeight w:val="225"/>
          <w:jc w:val="center"/>
        </w:trPr>
        <w:tc>
          <w:tcPr>
            <w:tcW w:w="4660" w:type="dxa"/>
            <w:tcBorders>
              <w:top w:val="nil"/>
              <w:left w:val="nil"/>
              <w:bottom w:val="single" w:sz="4" w:space="0" w:color="auto"/>
              <w:right w:val="nil"/>
            </w:tcBorders>
            <w:shd w:val="clear" w:color="auto" w:fill="auto"/>
            <w:noWrap/>
            <w:vAlign w:val="bottom"/>
            <w:hideMark/>
          </w:tcPr>
          <w:p w:rsidR="00031EBE" w:rsidRPr="00031EBE" w:rsidRDefault="00031EBE" w:rsidP="00031EBE">
            <w:pPr>
              <w:spacing w:after="0"/>
              <w:rPr>
                <w:rFonts w:ascii="Arial" w:hAnsi="Arial" w:cs="Arial"/>
                <w:b/>
                <w:bCs/>
                <w:sz w:val="16"/>
                <w:szCs w:val="16"/>
              </w:rPr>
            </w:pPr>
            <w:r w:rsidRPr="00031EBE">
              <w:rPr>
                <w:rFonts w:ascii="Arial" w:hAnsi="Arial" w:cs="Arial"/>
                <w:b/>
                <w:bCs/>
                <w:sz w:val="16"/>
                <w:szCs w:val="16"/>
              </w:rPr>
              <w:t xml:space="preserve">Average </w:t>
            </w:r>
            <w:r w:rsidRPr="00031EBE">
              <w:rPr>
                <w:rFonts w:ascii="Arial" w:hAnsi="Arial" w:cs="Arial"/>
                <w:b/>
                <w:bCs/>
                <w:color w:val="auto"/>
                <w:sz w:val="16"/>
                <w:szCs w:val="16"/>
              </w:rPr>
              <w:t>s</w:t>
            </w:r>
            <w:r w:rsidRPr="00031EBE">
              <w:rPr>
                <w:rFonts w:ascii="Arial" w:hAnsi="Arial" w:cs="Arial"/>
                <w:b/>
                <w:bCs/>
                <w:sz w:val="16"/>
                <w:szCs w:val="16"/>
              </w:rPr>
              <w:t xml:space="preserve">taffing </w:t>
            </w:r>
            <w:r w:rsidRPr="00031EBE">
              <w:rPr>
                <w:rFonts w:ascii="Arial" w:hAnsi="Arial" w:cs="Arial"/>
                <w:b/>
                <w:bCs/>
                <w:color w:val="auto"/>
                <w:sz w:val="16"/>
                <w:szCs w:val="16"/>
              </w:rPr>
              <w:t>l</w:t>
            </w:r>
            <w:r w:rsidRPr="00031EBE">
              <w:rPr>
                <w:rFonts w:ascii="Arial" w:hAnsi="Arial" w:cs="Arial"/>
                <w:b/>
                <w:bCs/>
                <w:sz w:val="16"/>
                <w:szCs w:val="16"/>
              </w:rPr>
              <w:t>evel (number)</w:t>
            </w:r>
          </w:p>
        </w:tc>
        <w:tc>
          <w:tcPr>
            <w:tcW w:w="1360" w:type="dxa"/>
            <w:tcBorders>
              <w:top w:val="single" w:sz="4" w:space="0" w:color="auto"/>
              <w:left w:val="nil"/>
              <w:bottom w:val="single" w:sz="4" w:space="0" w:color="auto"/>
              <w:right w:val="nil"/>
            </w:tcBorders>
            <w:shd w:val="clear" w:color="auto" w:fill="auto"/>
            <w:noWrap/>
            <w:vAlign w:val="bottom"/>
            <w:hideMark/>
          </w:tcPr>
          <w:p w:rsidR="00031EBE" w:rsidRPr="00031EBE" w:rsidRDefault="00031EBE" w:rsidP="00031EBE">
            <w:pPr>
              <w:spacing w:after="0"/>
              <w:jc w:val="right"/>
              <w:rPr>
                <w:rFonts w:ascii="Arial" w:hAnsi="Arial" w:cs="Arial"/>
                <w:sz w:val="16"/>
                <w:szCs w:val="16"/>
              </w:rPr>
            </w:pPr>
            <w:r w:rsidRPr="00031EBE">
              <w:rPr>
                <w:rFonts w:ascii="Arial" w:hAnsi="Arial" w:cs="Arial"/>
                <w:sz w:val="16"/>
                <w:szCs w:val="16"/>
              </w:rPr>
              <w:t>25</w:t>
            </w:r>
          </w:p>
        </w:tc>
        <w:tc>
          <w:tcPr>
            <w:tcW w:w="1360" w:type="dxa"/>
            <w:tcBorders>
              <w:top w:val="single" w:sz="4" w:space="0" w:color="auto"/>
              <w:left w:val="nil"/>
              <w:bottom w:val="single" w:sz="4" w:space="0" w:color="auto"/>
              <w:right w:val="nil"/>
            </w:tcBorders>
            <w:shd w:val="clear" w:color="000000" w:fill="D9D9D9"/>
            <w:noWrap/>
            <w:vAlign w:val="bottom"/>
            <w:hideMark/>
          </w:tcPr>
          <w:p w:rsidR="00031EBE" w:rsidRPr="00031EBE" w:rsidRDefault="00031EBE" w:rsidP="00031EBE">
            <w:pPr>
              <w:spacing w:after="0"/>
              <w:jc w:val="right"/>
              <w:rPr>
                <w:rFonts w:ascii="Arial" w:hAnsi="Arial" w:cs="Arial"/>
                <w:sz w:val="16"/>
                <w:szCs w:val="16"/>
              </w:rPr>
            </w:pPr>
            <w:r w:rsidRPr="00031EBE">
              <w:rPr>
                <w:rFonts w:ascii="Arial" w:hAnsi="Arial" w:cs="Arial"/>
                <w:sz w:val="16"/>
                <w:szCs w:val="16"/>
              </w:rPr>
              <w:t>25</w:t>
            </w:r>
          </w:p>
        </w:tc>
      </w:tr>
    </w:tbl>
    <w:p w:rsidR="00031EBE" w:rsidRDefault="00031EBE" w:rsidP="00111439">
      <w:pPr>
        <w:pStyle w:val="FootnoteText"/>
        <w:spacing w:before="120"/>
      </w:pPr>
      <w:r>
        <w:t>All figures are GST exclusive.</w:t>
      </w:r>
    </w:p>
    <w:p w:rsidR="00031EBE" w:rsidRDefault="00031EBE" w:rsidP="00031EBE">
      <w:pPr>
        <w:pStyle w:val="FootnoteText"/>
      </w:pPr>
      <w:r w:rsidRPr="00031EBE">
        <w:rPr>
          <w:vertAlign w:val="superscript"/>
        </w:rPr>
        <w:t>(a)</w:t>
      </w:r>
      <w:r>
        <w:tab/>
        <w:t>Appropriation Bill (No. 1) 2019-20.</w:t>
      </w:r>
    </w:p>
    <w:p w:rsidR="00031EBE" w:rsidRDefault="00031EBE" w:rsidP="00031EBE">
      <w:pPr>
        <w:pStyle w:val="FootnoteText"/>
      </w:pPr>
      <w:r w:rsidRPr="00031EBE">
        <w:rPr>
          <w:vertAlign w:val="superscript"/>
        </w:rPr>
        <w:t>(b)</w:t>
      </w:r>
      <w:r>
        <w:tab/>
        <w:t>Estimated retained revenue receipts under section 74 of the PGPA Act.</w:t>
      </w:r>
    </w:p>
    <w:p w:rsidR="00031EBE" w:rsidRDefault="00031EBE" w:rsidP="00031EBE">
      <w:pPr>
        <w:pStyle w:val="FootnoteText"/>
      </w:pPr>
      <w:r w:rsidRPr="00031EBE">
        <w:rPr>
          <w:vertAlign w:val="superscript"/>
        </w:rPr>
        <w:t>(c)</w:t>
      </w:r>
      <w:r>
        <w:tab/>
        <w:t xml:space="preserve">Departmental </w:t>
      </w:r>
      <w:r w:rsidR="00CE7D18">
        <w:t>C</w:t>
      </w:r>
      <w:r>
        <w:t xml:space="preserve">apital </w:t>
      </w:r>
      <w:r w:rsidR="00CE7D18">
        <w:t>B</w:t>
      </w:r>
      <w:r>
        <w:t>udgets are not separately identified in Appropriation Bill (No. 1) and form part of ordinary annual services items. Refer to Table 3.5 for further details. For accounting purposes, this amount has been designated as a 'contribution by owner'.</w:t>
      </w:r>
    </w:p>
    <w:p w:rsidR="00031EBE" w:rsidRPr="00031EBE" w:rsidRDefault="00031EBE" w:rsidP="00031EBE">
      <w:pPr>
        <w:pStyle w:val="FootnoteText"/>
      </w:pPr>
      <w:r w:rsidRPr="00031EBE">
        <w:rPr>
          <w:vertAlign w:val="superscript"/>
        </w:rPr>
        <w:t>(d)</w:t>
      </w:r>
      <w:r>
        <w:tab/>
        <w:t>Appropriation Bill (No. 2) 2019-20.</w:t>
      </w:r>
    </w:p>
    <w:p w:rsidR="00811023" w:rsidRPr="005848AC" w:rsidRDefault="00811023" w:rsidP="005848AC">
      <w:r>
        <w:br w:type="page"/>
      </w:r>
    </w:p>
    <w:p w:rsidR="00A76D89" w:rsidRPr="00C8461B" w:rsidRDefault="00A76D89" w:rsidP="00111439">
      <w:pPr>
        <w:pStyle w:val="Heading3"/>
        <w:spacing w:after="120"/>
      </w:pPr>
      <w:bookmarkStart w:id="6" w:name="_Toc4874680"/>
      <w:r w:rsidRPr="00C8461B">
        <w:t>1.3</w:t>
      </w:r>
      <w:r w:rsidRPr="00C8461B">
        <w:tab/>
        <w:t>Budget Measures</w:t>
      </w:r>
      <w:bookmarkEnd w:id="6"/>
    </w:p>
    <w:p w:rsidR="00CA530B" w:rsidRDefault="00CA530B" w:rsidP="00111439">
      <w:r>
        <w:t>Budget measures in Part 1 relating to PSR are detailed in Budget Paper No. 2 and are summarised below.</w:t>
      </w:r>
    </w:p>
    <w:p w:rsidR="00CA530B" w:rsidRDefault="00934304" w:rsidP="00111439">
      <w:pPr>
        <w:pStyle w:val="Tablenumberandreference"/>
      </w:pPr>
      <w:r>
        <w:t>Table 1.2: PSR 2019</w:t>
      </w:r>
      <w:r w:rsidR="00CA530B">
        <w:t>-</w:t>
      </w:r>
      <w:r>
        <w:t>20</w:t>
      </w:r>
      <w:r w:rsidR="00CA530B">
        <w:t xml:space="preserve"> Budget Measures</w:t>
      </w:r>
    </w:p>
    <w:tbl>
      <w:tblPr>
        <w:tblW w:w="7360" w:type="dxa"/>
        <w:jc w:val="center"/>
        <w:tblLayout w:type="fixed"/>
        <w:tblLook w:val="04A0" w:firstRow="1" w:lastRow="0" w:firstColumn="1" w:lastColumn="0" w:noHBand="0" w:noVBand="1"/>
      </w:tblPr>
      <w:tblGrid>
        <w:gridCol w:w="1960"/>
        <w:gridCol w:w="900"/>
        <w:gridCol w:w="900"/>
        <w:gridCol w:w="900"/>
        <w:gridCol w:w="900"/>
        <w:gridCol w:w="900"/>
        <w:gridCol w:w="900"/>
      </w:tblGrid>
      <w:tr w:rsidR="001B17A0" w:rsidRPr="001B17A0" w:rsidTr="001B17A0">
        <w:trPr>
          <w:trHeight w:val="283"/>
          <w:jc w:val="center"/>
        </w:trPr>
        <w:tc>
          <w:tcPr>
            <w:tcW w:w="1960" w:type="dxa"/>
            <w:tcBorders>
              <w:top w:val="single" w:sz="4" w:space="0" w:color="auto"/>
              <w:left w:val="nil"/>
              <w:bottom w:val="nil"/>
              <w:right w:val="nil"/>
            </w:tcBorders>
            <w:shd w:val="clear" w:color="auto" w:fill="auto"/>
            <w:noWrap/>
            <w:hideMark/>
          </w:tcPr>
          <w:p w:rsidR="001B17A0" w:rsidRPr="001B17A0" w:rsidRDefault="001B17A0" w:rsidP="001B17A0">
            <w:pPr>
              <w:spacing w:before="40" w:after="0"/>
              <w:jc w:val="right"/>
              <w:rPr>
                <w:rFonts w:ascii="Arial" w:hAnsi="Arial" w:cs="Arial"/>
                <w:color w:val="auto"/>
                <w:sz w:val="16"/>
                <w:szCs w:val="16"/>
              </w:rPr>
            </w:pPr>
            <w:r w:rsidRPr="001B17A0">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rsidR="001B17A0" w:rsidRPr="001B17A0" w:rsidRDefault="001B17A0" w:rsidP="001B17A0">
            <w:pPr>
              <w:spacing w:before="40" w:after="0"/>
              <w:jc w:val="right"/>
              <w:rPr>
                <w:rFonts w:ascii="Arial" w:hAnsi="Arial" w:cs="Arial"/>
                <w:b/>
                <w:bCs/>
                <w:color w:val="auto"/>
                <w:sz w:val="16"/>
                <w:szCs w:val="16"/>
              </w:rPr>
            </w:pPr>
            <w:r w:rsidRPr="003A2E05">
              <w:rPr>
                <w:rFonts w:ascii="Arial" w:hAnsi="Arial" w:cs="Arial"/>
                <w:b/>
                <w:bCs/>
                <w:color w:val="auto"/>
                <w:sz w:val="16"/>
                <w:szCs w:val="16"/>
              </w:rPr>
              <w:t>Program</w:t>
            </w:r>
          </w:p>
        </w:tc>
        <w:tc>
          <w:tcPr>
            <w:tcW w:w="900" w:type="dxa"/>
            <w:tcBorders>
              <w:top w:val="single" w:sz="4" w:space="0" w:color="000000"/>
              <w:left w:val="nil"/>
              <w:bottom w:val="single" w:sz="4" w:space="0" w:color="000000"/>
              <w:right w:val="nil"/>
            </w:tcBorders>
            <w:shd w:val="clear" w:color="auto" w:fill="auto"/>
            <w:hideMark/>
          </w:tcPr>
          <w:p w:rsidR="001B17A0" w:rsidRPr="001B17A0" w:rsidRDefault="001B17A0" w:rsidP="001B17A0">
            <w:pPr>
              <w:spacing w:before="40" w:after="0"/>
              <w:jc w:val="right"/>
              <w:rPr>
                <w:rFonts w:ascii="Arial" w:hAnsi="Arial" w:cs="Arial"/>
                <w:b/>
                <w:bCs/>
                <w:color w:val="auto"/>
                <w:sz w:val="16"/>
                <w:szCs w:val="16"/>
              </w:rPr>
            </w:pPr>
            <w:r w:rsidRPr="001B17A0">
              <w:rPr>
                <w:rFonts w:ascii="Arial" w:hAnsi="Arial" w:cs="Arial"/>
                <w:b/>
                <w:bCs/>
                <w:color w:val="auto"/>
                <w:sz w:val="16"/>
                <w:szCs w:val="16"/>
              </w:rPr>
              <w:t>2018-19</w:t>
            </w:r>
            <w:r w:rsidRPr="001B17A0">
              <w:rPr>
                <w:rFonts w:ascii="Arial" w:hAnsi="Arial" w:cs="Arial"/>
                <w:b/>
                <w:bCs/>
                <w:color w:val="auto"/>
                <w:sz w:val="16"/>
                <w:szCs w:val="16"/>
              </w:rPr>
              <w:br/>
              <w:t>$'000</w:t>
            </w:r>
          </w:p>
        </w:tc>
        <w:tc>
          <w:tcPr>
            <w:tcW w:w="900" w:type="dxa"/>
            <w:tcBorders>
              <w:top w:val="single" w:sz="4" w:space="0" w:color="000000"/>
              <w:left w:val="nil"/>
              <w:bottom w:val="single" w:sz="4" w:space="0" w:color="000000"/>
              <w:right w:val="nil"/>
            </w:tcBorders>
            <w:shd w:val="clear" w:color="000000" w:fill="D9D9D9"/>
            <w:hideMark/>
          </w:tcPr>
          <w:p w:rsidR="001B17A0" w:rsidRPr="001B17A0" w:rsidRDefault="001B17A0" w:rsidP="001B17A0">
            <w:pPr>
              <w:spacing w:before="40" w:after="0"/>
              <w:jc w:val="right"/>
              <w:rPr>
                <w:rFonts w:ascii="Arial" w:hAnsi="Arial" w:cs="Arial"/>
                <w:b/>
                <w:bCs/>
                <w:color w:val="auto"/>
                <w:sz w:val="16"/>
                <w:szCs w:val="16"/>
              </w:rPr>
            </w:pPr>
            <w:r w:rsidRPr="001B17A0">
              <w:rPr>
                <w:rFonts w:ascii="Arial" w:hAnsi="Arial" w:cs="Arial"/>
                <w:b/>
                <w:bCs/>
                <w:color w:val="auto"/>
                <w:sz w:val="16"/>
                <w:szCs w:val="16"/>
              </w:rPr>
              <w:t>2019-20</w:t>
            </w:r>
            <w:r w:rsidRPr="001B17A0">
              <w:rPr>
                <w:rFonts w:ascii="Arial" w:hAnsi="Arial" w:cs="Arial"/>
                <w:b/>
                <w:bCs/>
                <w:color w:val="auto"/>
                <w:sz w:val="16"/>
                <w:szCs w:val="16"/>
              </w:rPr>
              <w:br/>
              <w:t>$'000</w:t>
            </w:r>
          </w:p>
        </w:tc>
        <w:tc>
          <w:tcPr>
            <w:tcW w:w="900" w:type="dxa"/>
            <w:tcBorders>
              <w:top w:val="single" w:sz="4" w:space="0" w:color="000000"/>
              <w:left w:val="nil"/>
              <w:bottom w:val="single" w:sz="4" w:space="0" w:color="000000"/>
              <w:right w:val="nil"/>
            </w:tcBorders>
            <w:shd w:val="clear" w:color="auto" w:fill="auto"/>
            <w:hideMark/>
          </w:tcPr>
          <w:p w:rsidR="001B17A0" w:rsidRPr="001B17A0" w:rsidRDefault="001B17A0" w:rsidP="001B17A0">
            <w:pPr>
              <w:spacing w:before="40" w:after="0"/>
              <w:jc w:val="right"/>
              <w:rPr>
                <w:rFonts w:ascii="Arial" w:hAnsi="Arial" w:cs="Arial"/>
                <w:b/>
                <w:bCs/>
                <w:color w:val="auto"/>
                <w:sz w:val="16"/>
                <w:szCs w:val="16"/>
              </w:rPr>
            </w:pPr>
            <w:r w:rsidRPr="001B17A0">
              <w:rPr>
                <w:rFonts w:ascii="Arial" w:hAnsi="Arial" w:cs="Arial"/>
                <w:b/>
                <w:bCs/>
                <w:color w:val="auto"/>
                <w:sz w:val="16"/>
                <w:szCs w:val="16"/>
              </w:rPr>
              <w:t>2020-21</w:t>
            </w:r>
            <w:r w:rsidRPr="001B17A0">
              <w:rPr>
                <w:rFonts w:ascii="Arial" w:hAnsi="Arial" w:cs="Arial"/>
                <w:b/>
                <w:bCs/>
                <w:color w:val="auto"/>
                <w:sz w:val="16"/>
                <w:szCs w:val="16"/>
              </w:rPr>
              <w:br/>
              <w:t>$'000</w:t>
            </w:r>
          </w:p>
        </w:tc>
        <w:tc>
          <w:tcPr>
            <w:tcW w:w="900" w:type="dxa"/>
            <w:tcBorders>
              <w:top w:val="single" w:sz="4" w:space="0" w:color="000000"/>
              <w:left w:val="nil"/>
              <w:bottom w:val="single" w:sz="4" w:space="0" w:color="000000"/>
              <w:right w:val="nil"/>
            </w:tcBorders>
            <w:shd w:val="clear" w:color="auto" w:fill="auto"/>
            <w:hideMark/>
          </w:tcPr>
          <w:p w:rsidR="001B17A0" w:rsidRPr="001B17A0" w:rsidRDefault="001B17A0" w:rsidP="001B17A0">
            <w:pPr>
              <w:spacing w:before="40" w:after="0"/>
              <w:jc w:val="right"/>
              <w:rPr>
                <w:rFonts w:ascii="Arial" w:hAnsi="Arial" w:cs="Arial"/>
                <w:b/>
                <w:bCs/>
                <w:color w:val="auto"/>
                <w:sz w:val="16"/>
                <w:szCs w:val="16"/>
              </w:rPr>
            </w:pPr>
            <w:r w:rsidRPr="001B17A0">
              <w:rPr>
                <w:rFonts w:ascii="Arial" w:hAnsi="Arial" w:cs="Arial"/>
                <w:b/>
                <w:bCs/>
                <w:color w:val="auto"/>
                <w:sz w:val="16"/>
                <w:szCs w:val="16"/>
              </w:rPr>
              <w:t xml:space="preserve">2021-22 </w:t>
            </w:r>
            <w:r w:rsidRPr="001B17A0">
              <w:rPr>
                <w:rFonts w:ascii="Arial" w:hAnsi="Arial" w:cs="Arial"/>
                <w:b/>
                <w:bCs/>
                <w:color w:val="auto"/>
                <w:sz w:val="16"/>
                <w:szCs w:val="16"/>
              </w:rPr>
              <w:br/>
              <w:t>$'000</w:t>
            </w:r>
          </w:p>
        </w:tc>
        <w:tc>
          <w:tcPr>
            <w:tcW w:w="900" w:type="dxa"/>
            <w:tcBorders>
              <w:top w:val="single" w:sz="4" w:space="0" w:color="000000"/>
              <w:left w:val="nil"/>
              <w:bottom w:val="single" w:sz="4" w:space="0" w:color="000000"/>
              <w:right w:val="nil"/>
            </w:tcBorders>
            <w:shd w:val="clear" w:color="auto" w:fill="auto"/>
            <w:hideMark/>
          </w:tcPr>
          <w:p w:rsidR="001B17A0" w:rsidRPr="001B17A0" w:rsidRDefault="001B17A0" w:rsidP="001B17A0">
            <w:pPr>
              <w:spacing w:before="40" w:after="0"/>
              <w:jc w:val="right"/>
              <w:rPr>
                <w:rFonts w:ascii="Arial" w:hAnsi="Arial" w:cs="Arial"/>
                <w:b/>
                <w:bCs/>
                <w:color w:val="auto"/>
                <w:sz w:val="16"/>
                <w:szCs w:val="16"/>
              </w:rPr>
            </w:pPr>
            <w:r w:rsidRPr="001B17A0">
              <w:rPr>
                <w:rFonts w:ascii="Arial" w:hAnsi="Arial" w:cs="Arial"/>
                <w:b/>
                <w:bCs/>
                <w:color w:val="auto"/>
                <w:sz w:val="16"/>
                <w:szCs w:val="16"/>
              </w:rPr>
              <w:t xml:space="preserve">2022-23 </w:t>
            </w:r>
            <w:r w:rsidRPr="001B17A0">
              <w:rPr>
                <w:rFonts w:ascii="Arial" w:hAnsi="Arial" w:cs="Arial"/>
                <w:b/>
                <w:bCs/>
                <w:color w:val="auto"/>
                <w:sz w:val="16"/>
                <w:szCs w:val="16"/>
              </w:rPr>
              <w:br/>
              <w:t>$'000</w:t>
            </w:r>
          </w:p>
        </w:tc>
      </w:tr>
      <w:tr w:rsidR="001B17A0" w:rsidRPr="001B17A0" w:rsidTr="001B17A0">
        <w:trPr>
          <w:trHeight w:val="300"/>
          <w:jc w:val="center"/>
        </w:trPr>
        <w:tc>
          <w:tcPr>
            <w:tcW w:w="7360" w:type="dxa"/>
            <w:gridSpan w:val="7"/>
            <w:tcBorders>
              <w:top w:val="nil"/>
              <w:left w:val="nil"/>
              <w:bottom w:val="nil"/>
              <w:right w:val="nil"/>
            </w:tcBorders>
            <w:shd w:val="clear" w:color="auto" w:fill="auto"/>
            <w:noWrap/>
            <w:vAlign w:val="bottom"/>
            <w:hideMark/>
          </w:tcPr>
          <w:p w:rsidR="001B17A0" w:rsidRPr="001B17A0" w:rsidRDefault="001B17A0" w:rsidP="001B17A0">
            <w:pPr>
              <w:spacing w:after="0"/>
              <w:rPr>
                <w:rFonts w:ascii="Arial" w:hAnsi="Arial" w:cs="Arial"/>
                <w:b/>
                <w:bCs/>
                <w:color w:val="auto"/>
                <w:sz w:val="16"/>
                <w:szCs w:val="16"/>
              </w:rPr>
            </w:pPr>
            <w:r w:rsidRPr="001B17A0">
              <w:rPr>
                <w:rFonts w:ascii="Arial" w:hAnsi="Arial" w:cs="Arial"/>
                <w:b/>
                <w:bCs/>
                <w:color w:val="auto"/>
                <w:sz w:val="16"/>
                <w:szCs w:val="16"/>
              </w:rPr>
              <w:t>Guaranteeing Medicare - improving quality and safety through st</w:t>
            </w:r>
            <w:r>
              <w:rPr>
                <w:rFonts w:ascii="Arial" w:hAnsi="Arial" w:cs="Arial"/>
                <w:b/>
                <w:bCs/>
                <w:color w:val="auto"/>
                <w:sz w:val="16"/>
                <w:szCs w:val="16"/>
              </w:rPr>
              <w:t>r</w:t>
            </w:r>
            <w:r w:rsidRPr="001B17A0">
              <w:rPr>
                <w:rFonts w:ascii="Arial" w:hAnsi="Arial" w:cs="Arial"/>
                <w:b/>
                <w:bCs/>
                <w:color w:val="auto"/>
                <w:sz w:val="16"/>
                <w:szCs w:val="16"/>
              </w:rPr>
              <w:t>onger compliance</w:t>
            </w:r>
            <w:r w:rsidRPr="001B17A0">
              <w:rPr>
                <w:rFonts w:ascii="Arial" w:hAnsi="Arial" w:cs="Arial"/>
                <w:b/>
                <w:bCs/>
                <w:color w:val="auto"/>
                <w:sz w:val="16"/>
                <w:szCs w:val="16"/>
                <w:vertAlign w:val="superscript"/>
              </w:rPr>
              <w:t xml:space="preserve"> (a) (b)</w:t>
            </w:r>
          </w:p>
        </w:tc>
      </w:tr>
      <w:tr w:rsidR="001B17A0" w:rsidRPr="001B17A0" w:rsidTr="001B17A0">
        <w:trPr>
          <w:trHeight w:val="225"/>
          <w:jc w:val="center"/>
        </w:trPr>
        <w:tc>
          <w:tcPr>
            <w:tcW w:w="2860" w:type="dxa"/>
            <w:gridSpan w:val="2"/>
            <w:tcBorders>
              <w:top w:val="nil"/>
              <w:left w:val="nil"/>
              <w:bottom w:val="nil"/>
              <w:right w:val="nil"/>
            </w:tcBorders>
            <w:shd w:val="clear" w:color="auto" w:fill="auto"/>
            <w:noWrap/>
            <w:vAlign w:val="bottom"/>
            <w:hideMark/>
          </w:tcPr>
          <w:p w:rsidR="001B17A0" w:rsidRPr="001B17A0" w:rsidRDefault="001B17A0" w:rsidP="001B17A0">
            <w:pPr>
              <w:spacing w:after="0"/>
              <w:rPr>
                <w:rFonts w:ascii="Arial" w:hAnsi="Arial" w:cs="Arial"/>
                <w:color w:val="auto"/>
                <w:sz w:val="16"/>
                <w:szCs w:val="16"/>
              </w:rPr>
            </w:pPr>
            <w:r w:rsidRPr="001B17A0">
              <w:rPr>
                <w:rFonts w:ascii="Arial" w:hAnsi="Arial" w:cs="Arial"/>
                <w:color w:val="auto"/>
                <w:sz w:val="16"/>
                <w:szCs w:val="16"/>
              </w:rPr>
              <w:t>Professional Services Review</w:t>
            </w:r>
          </w:p>
        </w:tc>
        <w:tc>
          <w:tcPr>
            <w:tcW w:w="900" w:type="dxa"/>
            <w:tcBorders>
              <w:top w:val="nil"/>
              <w:left w:val="nil"/>
              <w:bottom w:val="nil"/>
              <w:right w:val="nil"/>
            </w:tcBorders>
            <w:shd w:val="clear" w:color="auto" w:fill="auto"/>
            <w:noWrap/>
            <w:vAlign w:val="bottom"/>
            <w:hideMark/>
          </w:tcPr>
          <w:p w:rsidR="001B17A0" w:rsidRPr="001B17A0" w:rsidRDefault="001B17A0" w:rsidP="001B17A0">
            <w:pPr>
              <w:spacing w:after="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rsidR="001B17A0" w:rsidRPr="001B17A0" w:rsidRDefault="001B17A0" w:rsidP="001B17A0">
            <w:pPr>
              <w:spacing w:after="0"/>
              <w:rPr>
                <w:rFonts w:ascii="Arial" w:hAnsi="Arial" w:cs="Arial"/>
                <w:color w:val="auto"/>
                <w:sz w:val="16"/>
                <w:szCs w:val="16"/>
              </w:rPr>
            </w:pPr>
            <w:r w:rsidRPr="001B17A0">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rsidR="001B17A0" w:rsidRPr="001B17A0" w:rsidRDefault="001B17A0" w:rsidP="001B17A0">
            <w:pPr>
              <w:spacing w:after="0"/>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rsidR="001B17A0" w:rsidRPr="001B17A0" w:rsidRDefault="001B17A0" w:rsidP="001B17A0">
            <w:pPr>
              <w:spacing w:after="0"/>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rsidR="001B17A0" w:rsidRPr="001B17A0" w:rsidRDefault="001B17A0" w:rsidP="001B17A0">
            <w:pPr>
              <w:spacing w:after="0"/>
              <w:rPr>
                <w:rFonts w:ascii="Arial" w:hAnsi="Arial" w:cs="Arial"/>
                <w:color w:val="auto"/>
                <w:sz w:val="16"/>
                <w:szCs w:val="16"/>
              </w:rPr>
            </w:pPr>
          </w:p>
        </w:tc>
      </w:tr>
      <w:tr w:rsidR="001B17A0" w:rsidRPr="001B17A0" w:rsidTr="003A2E05">
        <w:trPr>
          <w:trHeight w:val="225"/>
          <w:jc w:val="center"/>
        </w:trPr>
        <w:tc>
          <w:tcPr>
            <w:tcW w:w="1960" w:type="dxa"/>
            <w:tcBorders>
              <w:top w:val="nil"/>
              <w:left w:val="nil"/>
              <w:right w:val="nil"/>
            </w:tcBorders>
            <w:shd w:val="clear" w:color="auto" w:fill="auto"/>
            <w:noWrap/>
            <w:tcMar>
              <w:right w:w="0" w:type="dxa"/>
            </w:tcMar>
            <w:vAlign w:val="bottom"/>
            <w:hideMark/>
          </w:tcPr>
          <w:p w:rsidR="001B17A0" w:rsidRPr="001B17A0" w:rsidRDefault="001B17A0" w:rsidP="001B17A0">
            <w:pPr>
              <w:spacing w:after="0"/>
              <w:ind w:firstLineChars="100" w:firstLine="160"/>
              <w:rPr>
                <w:rFonts w:ascii="Arial" w:hAnsi="Arial" w:cs="Arial"/>
                <w:color w:val="auto"/>
                <w:sz w:val="16"/>
                <w:szCs w:val="16"/>
              </w:rPr>
            </w:pPr>
            <w:r w:rsidRPr="001B17A0">
              <w:rPr>
                <w:rFonts w:ascii="Arial" w:hAnsi="Arial" w:cs="Arial"/>
                <w:color w:val="auto"/>
                <w:sz w:val="16"/>
                <w:szCs w:val="16"/>
              </w:rPr>
              <w:t>Departmental expenses</w:t>
            </w:r>
          </w:p>
        </w:tc>
        <w:tc>
          <w:tcPr>
            <w:tcW w:w="900" w:type="dxa"/>
            <w:tcBorders>
              <w:top w:val="nil"/>
              <w:left w:val="nil"/>
              <w:right w:val="nil"/>
            </w:tcBorders>
            <w:shd w:val="clear" w:color="auto" w:fill="auto"/>
            <w:noWrap/>
            <w:vAlign w:val="bottom"/>
            <w:hideMark/>
          </w:tcPr>
          <w:p w:rsidR="001B17A0" w:rsidRPr="001B17A0" w:rsidRDefault="001B17A0" w:rsidP="001B17A0">
            <w:pPr>
              <w:spacing w:after="0"/>
              <w:jc w:val="right"/>
              <w:rPr>
                <w:rFonts w:ascii="Arial" w:hAnsi="Arial" w:cs="Arial"/>
                <w:color w:val="auto"/>
                <w:sz w:val="16"/>
                <w:szCs w:val="16"/>
              </w:rPr>
            </w:pPr>
            <w:r w:rsidRPr="001B17A0">
              <w:rPr>
                <w:rFonts w:ascii="Arial" w:hAnsi="Arial" w:cs="Arial"/>
                <w:color w:val="auto"/>
                <w:sz w:val="16"/>
                <w:szCs w:val="16"/>
              </w:rPr>
              <w:t>1.1</w:t>
            </w:r>
          </w:p>
        </w:tc>
        <w:tc>
          <w:tcPr>
            <w:tcW w:w="900" w:type="dxa"/>
            <w:tcBorders>
              <w:top w:val="nil"/>
              <w:left w:val="nil"/>
              <w:bottom w:val="single" w:sz="4" w:space="0" w:color="auto"/>
              <w:right w:val="nil"/>
            </w:tcBorders>
            <w:shd w:val="clear" w:color="auto" w:fill="auto"/>
            <w:noWrap/>
            <w:vAlign w:val="bottom"/>
            <w:hideMark/>
          </w:tcPr>
          <w:p w:rsidR="001B17A0" w:rsidRPr="001B17A0" w:rsidRDefault="001B17A0" w:rsidP="001B17A0">
            <w:pPr>
              <w:spacing w:after="0"/>
              <w:jc w:val="right"/>
              <w:rPr>
                <w:rFonts w:ascii="Arial" w:hAnsi="Arial" w:cs="Arial"/>
                <w:color w:val="auto"/>
                <w:sz w:val="16"/>
                <w:szCs w:val="16"/>
              </w:rPr>
            </w:pPr>
            <w:r w:rsidRPr="001B17A0">
              <w:rPr>
                <w:rFonts w:ascii="Arial" w:hAnsi="Arial" w:cs="Arial"/>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rsidR="001B17A0" w:rsidRPr="001B17A0" w:rsidRDefault="001B17A0" w:rsidP="001B17A0">
            <w:pPr>
              <w:spacing w:after="0"/>
              <w:jc w:val="right"/>
              <w:rPr>
                <w:rFonts w:ascii="Arial" w:hAnsi="Arial" w:cs="Arial"/>
                <w:color w:val="auto"/>
                <w:sz w:val="16"/>
                <w:szCs w:val="16"/>
              </w:rPr>
            </w:pPr>
            <w:r w:rsidRPr="001B17A0">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rsidR="001B17A0" w:rsidRPr="001B17A0" w:rsidRDefault="001B17A0" w:rsidP="001B17A0">
            <w:pPr>
              <w:spacing w:after="0"/>
              <w:jc w:val="right"/>
              <w:rPr>
                <w:rFonts w:ascii="Arial" w:hAnsi="Arial" w:cs="Arial"/>
                <w:color w:val="auto"/>
                <w:sz w:val="16"/>
                <w:szCs w:val="16"/>
              </w:rPr>
            </w:pPr>
            <w:r w:rsidRPr="001B17A0">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rsidR="001B17A0" w:rsidRPr="001B17A0" w:rsidRDefault="001B17A0" w:rsidP="001B17A0">
            <w:pPr>
              <w:spacing w:after="0"/>
              <w:jc w:val="right"/>
              <w:rPr>
                <w:rFonts w:ascii="Arial" w:hAnsi="Arial" w:cs="Arial"/>
                <w:color w:val="auto"/>
                <w:sz w:val="16"/>
                <w:szCs w:val="16"/>
              </w:rPr>
            </w:pPr>
            <w:r w:rsidRPr="001B17A0">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rsidR="001B17A0" w:rsidRPr="001B17A0" w:rsidRDefault="001B17A0" w:rsidP="001B17A0">
            <w:pPr>
              <w:spacing w:after="0"/>
              <w:jc w:val="right"/>
              <w:rPr>
                <w:rFonts w:ascii="Arial" w:hAnsi="Arial" w:cs="Arial"/>
                <w:color w:val="auto"/>
                <w:sz w:val="16"/>
                <w:szCs w:val="16"/>
              </w:rPr>
            </w:pPr>
            <w:r w:rsidRPr="001B17A0">
              <w:rPr>
                <w:rFonts w:ascii="Arial" w:hAnsi="Arial" w:cs="Arial"/>
                <w:color w:val="auto"/>
                <w:sz w:val="16"/>
                <w:szCs w:val="16"/>
              </w:rPr>
              <w:t>-</w:t>
            </w:r>
          </w:p>
        </w:tc>
      </w:tr>
      <w:tr w:rsidR="001B17A0" w:rsidRPr="001B17A0" w:rsidTr="003A2E05">
        <w:trPr>
          <w:trHeight w:val="225"/>
          <w:jc w:val="center"/>
        </w:trPr>
        <w:tc>
          <w:tcPr>
            <w:tcW w:w="1960" w:type="dxa"/>
            <w:tcBorders>
              <w:top w:val="nil"/>
              <w:left w:val="nil"/>
              <w:bottom w:val="single" w:sz="4" w:space="0" w:color="auto"/>
            </w:tcBorders>
            <w:shd w:val="clear" w:color="auto" w:fill="auto"/>
            <w:noWrap/>
            <w:vAlign w:val="bottom"/>
            <w:hideMark/>
          </w:tcPr>
          <w:p w:rsidR="001B17A0" w:rsidRPr="001B17A0" w:rsidRDefault="001B17A0" w:rsidP="001B17A0">
            <w:pPr>
              <w:spacing w:after="0"/>
              <w:rPr>
                <w:rFonts w:ascii="Arial" w:hAnsi="Arial" w:cs="Arial"/>
                <w:b/>
                <w:bCs/>
                <w:color w:val="auto"/>
                <w:sz w:val="16"/>
                <w:szCs w:val="16"/>
              </w:rPr>
            </w:pPr>
            <w:r w:rsidRPr="001B17A0">
              <w:rPr>
                <w:rFonts w:ascii="Arial" w:hAnsi="Arial" w:cs="Arial"/>
                <w:b/>
                <w:bCs/>
                <w:color w:val="auto"/>
                <w:sz w:val="16"/>
                <w:szCs w:val="16"/>
              </w:rPr>
              <w:t xml:space="preserve">Total </w:t>
            </w:r>
          </w:p>
        </w:tc>
        <w:tc>
          <w:tcPr>
            <w:tcW w:w="900" w:type="dxa"/>
            <w:tcBorders>
              <w:bottom w:val="single" w:sz="4" w:space="0" w:color="auto"/>
              <w:right w:val="nil"/>
            </w:tcBorders>
            <w:shd w:val="clear" w:color="auto" w:fill="auto"/>
            <w:noWrap/>
            <w:vAlign w:val="bottom"/>
            <w:hideMark/>
          </w:tcPr>
          <w:p w:rsidR="001B17A0" w:rsidRPr="001B17A0" w:rsidRDefault="001B17A0" w:rsidP="001B17A0">
            <w:pPr>
              <w:spacing w:after="0"/>
              <w:jc w:val="right"/>
              <w:rPr>
                <w:rFonts w:ascii="Arial" w:hAnsi="Arial" w:cs="Arial"/>
                <w:b/>
                <w:bCs/>
                <w:color w:val="auto"/>
                <w:sz w:val="16"/>
                <w:szCs w:val="16"/>
              </w:rPr>
            </w:pPr>
            <w:r w:rsidRPr="001B17A0">
              <w:rPr>
                <w:rFonts w:ascii="Arial" w:hAnsi="Arial" w:cs="Arial"/>
                <w:b/>
                <w:bCs/>
                <w:color w:val="auto"/>
                <w:sz w:val="16"/>
                <w:szCs w:val="16"/>
              </w:rPr>
              <w:t> </w:t>
            </w:r>
          </w:p>
        </w:tc>
        <w:tc>
          <w:tcPr>
            <w:tcW w:w="900" w:type="dxa"/>
            <w:tcBorders>
              <w:top w:val="nil"/>
              <w:left w:val="nil"/>
              <w:bottom w:val="single" w:sz="4" w:space="0" w:color="auto"/>
              <w:right w:val="nil"/>
            </w:tcBorders>
            <w:shd w:val="clear" w:color="auto" w:fill="auto"/>
            <w:noWrap/>
            <w:vAlign w:val="bottom"/>
            <w:hideMark/>
          </w:tcPr>
          <w:p w:rsidR="001B17A0" w:rsidRPr="001B17A0" w:rsidRDefault="001B17A0" w:rsidP="001B17A0">
            <w:pPr>
              <w:spacing w:after="0"/>
              <w:jc w:val="right"/>
              <w:rPr>
                <w:rFonts w:ascii="Arial" w:hAnsi="Arial" w:cs="Arial"/>
                <w:b/>
                <w:bCs/>
                <w:color w:val="auto"/>
                <w:sz w:val="16"/>
                <w:szCs w:val="16"/>
              </w:rPr>
            </w:pPr>
            <w:r w:rsidRPr="001B17A0">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rsidR="001B17A0" w:rsidRPr="001B17A0" w:rsidRDefault="001B17A0" w:rsidP="001B17A0">
            <w:pPr>
              <w:spacing w:after="0"/>
              <w:jc w:val="right"/>
              <w:rPr>
                <w:rFonts w:ascii="Arial" w:hAnsi="Arial" w:cs="Arial"/>
                <w:b/>
                <w:bCs/>
                <w:color w:val="auto"/>
                <w:sz w:val="16"/>
                <w:szCs w:val="16"/>
              </w:rPr>
            </w:pPr>
            <w:r w:rsidRPr="001B17A0">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rsidR="001B17A0" w:rsidRPr="001B17A0" w:rsidRDefault="001B17A0" w:rsidP="001B17A0">
            <w:pPr>
              <w:spacing w:after="0"/>
              <w:jc w:val="right"/>
              <w:rPr>
                <w:rFonts w:ascii="Arial" w:hAnsi="Arial" w:cs="Arial"/>
                <w:b/>
                <w:bCs/>
                <w:color w:val="auto"/>
                <w:sz w:val="16"/>
                <w:szCs w:val="16"/>
              </w:rPr>
            </w:pPr>
            <w:r w:rsidRPr="001B17A0">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rsidR="001B17A0" w:rsidRPr="001B17A0" w:rsidRDefault="001B17A0" w:rsidP="001B17A0">
            <w:pPr>
              <w:spacing w:after="0"/>
              <w:jc w:val="right"/>
              <w:rPr>
                <w:rFonts w:ascii="Arial" w:hAnsi="Arial" w:cs="Arial"/>
                <w:b/>
                <w:bCs/>
                <w:color w:val="auto"/>
                <w:sz w:val="16"/>
                <w:szCs w:val="16"/>
              </w:rPr>
            </w:pPr>
            <w:r w:rsidRPr="001B17A0">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rsidR="001B17A0" w:rsidRPr="001B17A0" w:rsidRDefault="001B17A0" w:rsidP="001B17A0">
            <w:pPr>
              <w:spacing w:after="0"/>
              <w:jc w:val="right"/>
              <w:rPr>
                <w:rFonts w:ascii="Arial" w:hAnsi="Arial" w:cs="Arial"/>
                <w:b/>
                <w:bCs/>
                <w:color w:val="auto"/>
                <w:sz w:val="16"/>
                <w:szCs w:val="16"/>
              </w:rPr>
            </w:pPr>
            <w:r w:rsidRPr="001B17A0">
              <w:rPr>
                <w:rFonts w:ascii="Arial" w:hAnsi="Arial" w:cs="Arial"/>
                <w:b/>
                <w:bCs/>
                <w:color w:val="auto"/>
                <w:sz w:val="16"/>
                <w:szCs w:val="16"/>
              </w:rPr>
              <w:t>-</w:t>
            </w:r>
          </w:p>
        </w:tc>
      </w:tr>
    </w:tbl>
    <w:p w:rsidR="00EE18FE" w:rsidRPr="00EE18FE" w:rsidRDefault="00EE18FE" w:rsidP="00EE18FE">
      <w:pPr>
        <w:pStyle w:val="FootnoteText"/>
        <w:spacing w:before="120"/>
      </w:pPr>
      <w:r w:rsidRPr="00EE18FE">
        <w:rPr>
          <w:vertAlign w:val="superscript"/>
        </w:rPr>
        <w:t>(a)</w:t>
      </w:r>
      <w:r w:rsidRPr="00EE18FE">
        <w:tab/>
        <w:t>Full details of this measure are published under Department of Health (Table 1.2).</w:t>
      </w:r>
    </w:p>
    <w:p w:rsidR="00DD6038" w:rsidRPr="00EE18FE" w:rsidRDefault="00EE18FE" w:rsidP="00EE18FE">
      <w:pPr>
        <w:pStyle w:val="FootnoteText"/>
      </w:pPr>
      <w:r w:rsidRPr="00EE18FE">
        <w:rPr>
          <w:vertAlign w:val="superscript"/>
        </w:rPr>
        <w:t>(b)</w:t>
      </w:r>
      <w:r w:rsidRPr="00EE18FE">
        <w:tab/>
        <w:t>Funding for this measure has already been provided for by the Government.</w:t>
      </w:r>
      <w:r>
        <w:br/>
      </w:r>
    </w:p>
    <w:p w:rsidR="00811023" w:rsidRPr="009422A1" w:rsidRDefault="00811023" w:rsidP="00CA530B">
      <w:pPr>
        <w:pStyle w:val="Tablenumberandreference"/>
        <w:rPr>
          <w:sz w:val="2"/>
        </w:rPr>
      </w:pPr>
    </w:p>
    <w:p w:rsidR="000D0292" w:rsidRPr="000D0292" w:rsidRDefault="000D0292" w:rsidP="00BF12F9">
      <w:pPr>
        <w:rPr>
          <w:iCs/>
          <w:color w:val="0000FF"/>
        </w:rPr>
        <w:sectPr w:rsidR="000D0292" w:rsidRPr="000D0292" w:rsidSect="007763BB">
          <w:headerReference w:type="even" r:id="rId17"/>
          <w:headerReference w:type="default" r:id="rId18"/>
          <w:footerReference w:type="even" r:id="rId19"/>
          <w:footerReference w:type="default" r:id="rId20"/>
          <w:headerReference w:type="first" r:id="rId21"/>
          <w:pgSz w:w="11906" w:h="16838" w:code="9"/>
          <w:pgMar w:top="2665" w:right="2268" w:bottom="2126" w:left="2268" w:header="1899" w:footer="1899" w:gutter="0"/>
          <w:cols w:space="708"/>
          <w:docGrid w:linePitch="360"/>
        </w:sectPr>
      </w:pPr>
    </w:p>
    <w:p w:rsidR="00032336" w:rsidRPr="00C8461B" w:rsidRDefault="00032336" w:rsidP="00C8461B">
      <w:pPr>
        <w:pStyle w:val="Heading2"/>
      </w:pPr>
      <w:bookmarkStart w:id="7" w:name="_Toc4874681"/>
      <w:r w:rsidRPr="00C8461B">
        <w:t>Section 2: Outcomes and Planned Performance</w:t>
      </w:r>
      <w:bookmarkEnd w:id="7"/>
    </w:p>
    <w:p w:rsidR="00A52AC7" w:rsidRPr="00CD6C5C" w:rsidRDefault="00A52AC7" w:rsidP="00C8461B">
      <w:pPr>
        <w:rPr>
          <w:lang w:eastAsia="en-US"/>
        </w:rPr>
      </w:pPr>
      <w:r w:rsidRPr="00CD6C5C">
        <w:rPr>
          <w:lang w:eastAsia="en-US"/>
        </w:rPr>
        <w:t xml:space="preserve">Government outcomes are the intended results, impacts or consequences of actions by the Government on the Australian community. Commonwealth programs are the primary vehicle by which </w:t>
      </w:r>
      <w:r w:rsidR="00867B86" w:rsidRPr="00CD6C5C">
        <w:rPr>
          <w:lang w:eastAsia="en-US"/>
        </w:rPr>
        <w:t>G</w:t>
      </w:r>
      <w:r w:rsidRPr="00CD6C5C">
        <w:rPr>
          <w:lang w:eastAsia="en-US"/>
        </w:rPr>
        <w:t xml:space="preserve">overnment entities achieve the intended results of their outcome statements. Entities are required to identify the programs </w:t>
      </w:r>
      <w:r w:rsidR="00BA74D5">
        <w:rPr>
          <w:lang w:eastAsia="en-US"/>
        </w:rPr>
        <w:t>that</w:t>
      </w:r>
      <w:r w:rsidR="00BA74D5" w:rsidRPr="00CD6C5C">
        <w:rPr>
          <w:lang w:eastAsia="en-US"/>
        </w:rPr>
        <w:t xml:space="preserve"> </w:t>
      </w:r>
      <w:r w:rsidRPr="00CD6C5C">
        <w:rPr>
          <w:lang w:eastAsia="en-US"/>
        </w:rPr>
        <w:t xml:space="preserve">contribute to </w:t>
      </w:r>
      <w:r w:rsidR="00867B86" w:rsidRPr="00CD6C5C">
        <w:rPr>
          <w:lang w:eastAsia="en-US"/>
        </w:rPr>
        <w:t>G</w:t>
      </w:r>
      <w:r w:rsidRPr="00CD6C5C">
        <w:rPr>
          <w:lang w:eastAsia="en-US"/>
        </w:rPr>
        <w:t>overnment outcomes over the Budget and forward years.</w:t>
      </w:r>
    </w:p>
    <w:p w:rsidR="00A52AC7" w:rsidRPr="00CD6C5C" w:rsidRDefault="00A52AC7" w:rsidP="00C8461B">
      <w:pPr>
        <w:rPr>
          <w:lang w:eastAsia="en-US"/>
        </w:rPr>
      </w:pPr>
      <w:r w:rsidRPr="00CD6C5C">
        <w:rPr>
          <w:lang w:eastAsia="en-US"/>
        </w:rPr>
        <w:t>Each outcome is described below together with its related programs. The following provides detailed information on expenses for each outcome and program, further</w:t>
      </w:r>
      <w:r w:rsidR="00FE102F" w:rsidRPr="00CD6C5C">
        <w:rPr>
          <w:lang w:eastAsia="en-US"/>
        </w:rPr>
        <w:t xml:space="preserve"> broken down by funding source.</w:t>
      </w:r>
    </w:p>
    <w:p w:rsidR="00FE102F" w:rsidRPr="00CD6C5C" w:rsidRDefault="00FE102F" w:rsidP="00FE102F">
      <w:pPr>
        <w:pStyle w:val="Tablenumberandreference"/>
        <w:pBdr>
          <w:top w:val="single" w:sz="4" w:space="2" w:color="auto"/>
          <w:left w:val="single" w:sz="4" w:space="4" w:color="auto"/>
          <w:bottom w:val="single" w:sz="4" w:space="2" w:color="auto"/>
          <w:right w:val="single" w:sz="4" w:space="4" w:color="auto"/>
        </w:pBdr>
        <w:rPr>
          <w:color w:val="000000" w:themeColor="text1"/>
        </w:rPr>
      </w:pPr>
      <w:r w:rsidRPr="00CD6C5C">
        <w:rPr>
          <w:color w:val="000000" w:themeColor="text1"/>
        </w:rPr>
        <w:t>Note:</w:t>
      </w:r>
    </w:p>
    <w:p w:rsidR="00FE102F" w:rsidRPr="00CD6C5C" w:rsidRDefault="00FE102F" w:rsidP="00FE102F">
      <w:pPr>
        <w:pBdr>
          <w:top w:val="single" w:sz="4" w:space="2" w:color="auto"/>
          <w:left w:val="single" w:sz="4" w:space="4" w:color="auto"/>
          <w:bottom w:val="single" w:sz="4" w:space="2" w:color="auto"/>
          <w:right w:val="single" w:sz="4" w:space="4" w:color="auto"/>
        </w:pBdr>
        <w:rPr>
          <w:color w:val="000000" w:themeColor="text1"/>
        </w:rPr>
      </w:pPr>
      <w:r w:rsidRPr="00CD6C5C">
        <w:rPr>
          <w:color w:val="000000" w:themeColor="text1"/>
        </w:rPr>
        <w:t xml:space="preserve">Performance reporting requirements in the Portfolio Budget Statements are part of the </w:t>
      </w:r>
      <w:r w:rsidR="00776D0D">
        <w:rPr>
          <w:color w:val="000000" w:themeColor="text1"/>
        </w:rPr>
        <w:t>e</w:t>
      </w:r>
      <w:r w:rsidRPr="00CD6C5C">
        <w:rPr>
          <w:color w:val="000000" w:themeColor="text1"/>
        </w:rPr>
        <w:t xml:space="preserve">nhanced Commonwealth </w:t>
      </w:r>
      <w:r w:rsidR="00776D0D">
        <w:rPr>
          <w:color w:val="000000" w:themeColor="text1"/>
        </w:rPr>
        <w:t>p</w:t>
      </w:r>
      <w:r w:rsidRPr="00CD6C5C">
        <w:rPr>
          <w:color w:val="000000" w:themeColor="text1"/>
        </w:rPr>
        <w:t xml:space="preserve">erformance </w:t>
      </w:r>
      <w:r w:rsidR="00776D0D">
        <w:rPr>
          <w:color w:val="000000" w:themeColor="text1"/>
        </w:rPr>
        <w:t>f</w:t>
      </w:r>
      <w:r w:rsidRPr="00CD6C5C">
        <w:rPr>
          <w:color w:val="000000" w:themeColor="text1"/>
        </w:rPr>
        <w:t xml:space="preserve">ramework established by the </w:t>
      </w:r>
      <w:r w:rsidRPr="00CD6C5C">
        <w:rPr>
          <w:i/>
          <w:color w:val="000000" w:themeColor="text1"/>
        </w:rPr>
        <w:t>Public Governance, Performance and Accountability Act 2013</w:t>
      </w:r>
      <w:r w:rsidRPr="00CD6C5C">
        <w:rPr>
          <w:color w:val="000000" w:themeColor="text1"/>
        </w:rPr>
        <w:t xml:space="preserve">. It is anticipated that the performance criteria described in Portfolio Budget Statements will be read with broader information provided in an entity’s </w:t>
      </w:r>
      <w:r w:rsidR="00EA2500">
        <w:rPr>
          <w:color w:val="000000" w:themeColor="text1"/>
        </w:rPr>
        <w:t>C</w:t>
      </w:r>
      <w:r w:rsidRPr="00CD6C5C">
        <w:rPr>
          <w:color w:val="000000" w:themeColor="text1"/>
        </w:rPr>
        <w:t xml:space="preserve">orporate </w:t>
      </w:r>
      <w:r w:rsidR="00EA2500">
        <w:rPr>
          <w:color w:val="000000" w:themeColor="text1"/>
        </w:rPr>
        <w:t>P</w:t>
      </w:r>
      <w:r w:rsidRPr="00CD6C5C">
        <w:rPr>
          <w:color w:val="000000" w:themeColor="text1"/>
        </w:rPr>
        <w:t xml:space="preserve">lans and </w:t>
      </w:r>
      <w:r w:rsidR="00776D0D">
        <w:rPr>
          <w:color w:val="000000" w:themeColor="text1"/>
        </w:rPr>
        <w:t>A</w:t>
      </w:r>
      <w:r w:rsidRPr="00CD6C5C">
        <w:rPr>
          <w:color w:val="000000" w:themeColor="text1"/>
        </w:rPr>
        <w:t xml:space="preserve">nnual </w:t>
      </w:r>
      <w:r w:rsidR="00776D0D">
        <w:rPr>
          <w:color w:val="000000" w:themeColor="text1"/>
        </w:rPr>
        <w:t>P</w:t>
      </w:r>
      <w:r w:rsidRPr="00CD6C5C">
        <w:rPr>
          <w:color w:val="000000" w:themeColor="text1"/>
        </w:rPr>
        <w:t xml:space="preserve">erformance </w:t>
      </w:r>
      <w:r w:rsidR="00776D0D">
        <w:rPr>
          <w:color w:val="000000" w:themeColor="text1"/>
        </w:rPr>
        <w:t>S</w:t>
      </w:r>
      <w:r w:rsidRPr="00CD6C5C">
        <w:rPr>
          <w:color w:val="000000" w:themeColor="text1"/>
        </w:rPr>
        <w:t>tatements – included in Annual Reports – to provide an entity’s complete performance story.</w:t>
      </w:r>
    </w:p>
    <w:p w:rsidR="00FE102F" w:rsidRPr="00CD6C5C" w:rsidRDefault="00FE102F" w:rsidP="00FE102F">
      <w:pPr>
        <w:pBdr>
          <w:top w:val="single" w:sz="4" w:space="2" w:color="auto"/>
          <w:left w:val="single" w:sz="4" w:space="4" w:color="auto"/>
          <w:bottom w:val="single" w:sz="4" w:space="2" w:color="auto"/>
          <w:right w:val="single" w:sz="4" w:space="4" w:color="auto"/>
        </w:pBdr>
        <w:rPr>
          <w:color w:val="000000" w:themeColor="text1"/>
        </w:rPr>
      </w:pPr>
      <w:r w:rsidRPr="00CD6C5C">
        <w:rPr>
          <w:color w:val="000000" w:themeColor="text1"/>
        </w:rPr>
        <w:t xml:space="preserve">PSR’s most recent </w:t>
      </w:r>
      <w:r w:rsidR="00EA2500">
        <w:rPr>
          <w:color w:val="000000" w:themeColor="text1"/>
        </w:rPr>
        <w:t>C</w:t>
      </w:r>
      <w:r w:rsidRPr="00CD6C5C">
        <w:rPr>
          <w:color w:val="000000" w:themeColor="text1"/>
        </w:rPr>
        <w:t xml:space="preserve">orporate </w:t>
      </w:r>
      <w:r w:rsidR="00EA2500">
        <w:rPr>
          <w:color w:val="000000" w:themeColor="text1"/>
        </w:rPr>
        <w:t>P</w:t>
      </w:r>
      <w:r w:rsidRPr="00CD6C5C">
        <w:rPr>
          <w:color w:val="000000" w:themeColor="text1"/>
        </w:rPr>
        <w:t>lan is available at: www.psr.gov.au/publications-and-resources/governance-and-corporate-documents</w:t>
      </w:r>
    </w:p>
    <w:p w:rsidR="00FE102F" w:rsidRPr="00CD6C5C" w:rsidRDefault="00FE102F" w:rsidP="00FE102F">
      <w:pPr>
        <w:pBdr>
          <w:top w:val="single" w:sz="4" w:space="2" w:color="auto"/>
          <w:left w:val="single" w:sz="4" w:space="4" w:color="auto"/>
          <w:bottom w:val="single" w:sz="4" w:space="2" w:color="auto"/>
          <w:right w:val="single" w:sz="4" w:space="4" w:color="auto"/>
        </w:pBdr>
        <w:rPr>
          <w:color w:val="000000" w:themeColor="text1"/>
        </w:rPr>
      </w:pPr>
      <w:r w:rsidRPr="00CD6C5C">
        <w:rPr>
          <w:color w:val="000000" w:themeColor="text1"/>
        </w:rPr>
        <w:t xml:space="preserve">PSR’s most recent </w:t>
      </w:r>
      <w:r w:rsidR="00EA2500">
        <w:rPr>
          <w:color w:val="000000" w:themeColor="text1"/>
        </w:rPr>
        <w:t>A</w:t>
      </w:r>
      <w:r w:rsidRPr="00CD6C5C">
        <w:rPr>
          <w:color w:val="000000" w:themeColor="text1"/>
        </w:rPr>
        <w:t xml:space="preserve">nnual </w:t>
      </w:r>
      <w:r w:rsidR="00EA2500">
        <w:rPr>
          <w:color w:val="000000" w:themeColor="text1"/>
        </w:rPr>
        <w:t>P</w:t>
      </w:r>
      <w:r w:rsidRPr="00CD6C5C">
        <w:rPr>
          <w:color w:val="000000" w:themeColor="text1"/>
        </w:rPr>
        <w:t xml:space="preserve">erformance </w:t>
      </w:r>
      <w:r w:rsidR="00EA2500">
        <w:rPr>
          <w:color w:val="000000" w:themeColor="text1"/>
        </w:rPr>
        <w:t>S</w:t>
      </w:r>
      <w:r w:rsidRPr="00CD6C5C">
        <w:rPr>
          <w:color w:val="000000" w:themeColor="text1"/>
        </w:rPr>
        <w:t>tatement is available at: www.psr.gov.au/publications-and-resources/annual-reports</w:t>
      </w:r>
    </w:p>
    <w:p w:rsidR="00032336" w:rsidRPr="00C8461B" w:rsidRDefault="00032336" w:rsidP="00C8461B">
      <w:pPr>
        <w:pStyle w:val="Heading3"/>
      </w:pPr>
      <w:bookmarkStart w:id="8" w:name="_Toc4874682"/>
      <w:r w:rsidRPr="00C8461B">
        <w:t>2.1</w:t>
      </w:r>
      <w:r w:rsidRPr="00C8461B">
        <w:tab/>
      </w:r>
      <w:r w:rsidR="002A4D5E" w:rsidRPr="00C8461B">
        <w:t>Budgeted Expenses and Performance</w:t>
      </w:r>
      <w:bookmarkEnd w:id="8"/>
    </w:p>
    <w:p w:rsidR="007C5C30" w:rsidRPr="00CD6C5C" w:rsidRDefault="00E46349" w:rsidP="00067B4E">
      <w:pPr>
        <w:pStyle w:val="OutcomeStatement"/>
        <w:spacing w:after="120"/>
        <w:rPr>
          <w:b/>
          <w:color w:val="000000" w:themeColor="text1"/>
          <w:sz w:val="22"/>
        </w:rPr>
      </w:pPr>
      <w:r w:rsidRPr="00CD6C5C">
        <w:rPr>
          <w:b/>
          <w:color w:val="000000" w:themeColor="text1"/>
          <w:sz w:val="22"/>
        </w:rPr>
        <w:t>Outcome 1</w:t>
      </w:r>
    </w:p>
    <w:p w:rsidR="00D932A7" w:rsidRDefault="00D932A7" w:rsidP="00C8461B">
      <w:pPr>
        <w:pStyle w:val="OutcomeStatement"/>
      </w:pPr>
      <w:r w:rsidRPr="00D932A7">
        <w:t>A reduction of the risks to patients and costs to the Australian Government of inappropriate practice, including through investigating health services claimed under the Medicare and Pharmaceutical benefits schemes</w:t>
      </w:r>
    </w:p>
    <w:p w:rsidR="00604765" w:rsidRPr="00C8461B" w:rsidRDefault="00604765" w:rsidP="00C8461B">
      <w:pPr>
        <w:pStyle w:val="Heading4"/>
      </w:pPr>
      <w:r w:rsidRPr="00C8461B">
        <w:t>Program Contributing to Outcome 1</w:t>
      </w:r>
    </w:p>
    <w:p w:rsidR="000D0292" w:rsidRDefault="00604765" w:rsidP="00C7475E">
      <w:pPr>
        <w:pStyle w:val="ProgramContributingNames"/>
        <w:tabs>
          <w:tab w:val="clear" w:pos="1559"/>
        </w:tabs>
        <w:ind w:left="1134" w:hanging="1134"/>
      </w:pPr>
      <w:r w:rsidRPr="00C8461B">
        <w:t>Program 1.1:</w:t>
      </w:r>
      <w:r w:rsidRPr="00C8461B">
        <w:tab/>
        <w:t>Safeguarding the Integrity of the Medicare Program and Pharmaceutical Benefits Scheme</w:t>
      </w:r>
      <w:r w:rsidR="000D0292">
        <w:t xml:space="preserve"> </w:t>
      </w:r>
    </w:p>
    <w:p w:rsidR="000D0292" w:rsidRPr="000D0292" w:rsidRDefault="000D0292" w:rsidP="000D0292"/>
    <w:p w:rsidR="00994BA1" w:rsidRPr="00CD6C5C" w:rsidRDefault="00994BA1" w:rsidP="00C8461B">
      <w:pPr>
        <w:rPr>
          <w:sz w:val="22"/>
        </w:rPr>
      </w:pPr>
      <w:r w:rsidRPr="00CD6C5C">
        <w:br w:type="page"/>
      </w:r>
    </w:p>
    <w:p w:rsidR="001E2AD6" w:rsidRDefault="006F6123" w:rsidP="00C8461B">
      <w:pPr>
        <w:pStyle w:val="Heading4"/>
      </w:pPr>
      <w:r w:rsidRPr="00C8461B">
        <w:t>Linked Programs</w:t>
      </w:r>
    </w:p>
    <w:tbl>
      <w:tblPr>
        <w:tblStyle w:val="TableGrid"/>
        <w:tblW w:w="5177" w:type="pct"/>
        <w:tblCellMar>
          <w:right w:w="57" w:type="dxa"/>
        </w:tblCellMar>
        <w:tblLook w:val="04A0" w:firstRow="1" w:lastRow="0" w:firstColumn="1" w:lastColumn="0" w:noHBand="0" w:noVBand="1"/>
        <w:tblCaption w:val="Linked programs"/>
        <w:tblDescription w:val="This table shows a list of programs delivered by Commonwealth entities that contribute to the programs under this Outcome. It contains a list of entities and linked programs with a description of the contribution made by linked programs.&#10;"/>
      </w:tblPr>
      <w:tblGrid>
        <w:gridCol w:w="7802"/>
      </w:tblGrid>
      <w:tr w:rsidR="00CD6C5C" w:rsidRPr="00CD6C5C" w:rsidTr="00DE1E14">
        <w:trPr>
          <w:tblHeader/>
        </w:trPr>
        <w:tc>
          <w:tcPr>
            <w:tcW w:w="5000" w:type="pct"/>
            <w:shd w:val="clear" w:color="auto" w:fill="D9D9D9" w:themeFill="background1" w:themeFillShade="D9"/>
          </w:tcPr>
          <w:p w:rsidR="00E155BC" w:rsidRPr="00CD6C5C" w:rsidRDefault="00E155BC" w:rsidP="00067B4E">
            <w:pPr>
              <w:pStyle w:val="Tableheadingrow9pt"/>
              <w:rPr>
                <w:color w:val="000000" w:themeColor="text1"/>
              </w:rPr>
            </w:pPr>
            <w:r w:rsidRPr="00CD6C5C">
              <w:rPr>
                <w:color w:val="000000" w:themeColor="text1"/>
              </w:rPr>
              <w:t>Other Commonwealth entities that contribute to Outcome 1</w:t>
            </w:r>
          </w:p>
        </w:tc>
      </w:tr>
      <w:tr w:rsidR="00CD6C5C" w:rsidRPr="00CD6C5C" w:rsidTr="00DE1E14">
        <w:tc>
          <w:tcPr>
            <w:tcW w:w="5000" w:type="pct"/>
          </w:tcPr>
          <w:p w:rsidR="00571BAD" w:rsidRPr="00CD6C5C" w:rsidRDefault="00E155BC" w:rsidP="007C5C30">
            <w:pPr>
              <w:pStyle w:val="Tableheadingrow9pt"/>
              <w:rPr>
                <w:color w:val="000000" w:themeColor="text1"/>
              </w:rPr>
            </w:pPr>
            <w:r w:rsidRPr="00CD6C5C">
              <w:rPr>
                <w:color w:val="000000" w:themeColor="text1"/>
              </w:rPr>
              <w:t xml:space="preserve">Department of Health </w:t>
            </w:r>
            <w:r w:rsidR="005E45B1">
              <w:rPr>
                <w:color w:val="000000" w:themeColor="text1"/>
              </w:rPr>
              <w:t>(Health)</w:t>
            </w:r>
          </w:p>
          <w:p w:rsidR="00E155BC" w:rsidRPr="00CD6C5C" w:rsidRDefault="00E155BC" w:rsidP="007C5C30">
            <w:pPr>
              <w:pStyle w:val="Tableheadingrow9pt"/>
              <w:rPr>
                <w:color w:val="000000" w:themeColor="text1"/>
              </w:rPr>
            </w:pPr>
            <w:r w:rsidRPr="00CD6C5C">
              <w:rPr>
                <w:color w:val="000000" w:themeColor="text1"/>
              </w:rPr>
              <w:t xml:space="preserve">Program 4.1: </w:t>
            </w:r>
            <w:r w:rsidR="0023360D" w:rsidRPr="00CD6C5C">
              <w:rPr>
                <w:color w:val="000000" w:themeColor="text1"/>
              </w:rPr>
              <w:t>Medical Benefits</w:t>
            </w:r>
          </w:p>
          <w:p w:rsidR="00E155BC" w:rsidRPr="00CD6C5C" w:rsidRDefault="00E155BC" w:rsidP="007C5C30">
            <w:pPr>
              <w:pStyle w:val="Tabletextnormal9pt"/>
              <w:rPr>
                <w:color w:val="000000" w:themeColor="text1"/>
              </w:rPr>
            </w:pPr>
            <w:r w:rsidRPr="00CD6C5C">
              <w:rPr>
                <w:color w:val="000000" w:themeColor="text1"/>
              </w:rPr>
              <w:t>Health has policy responsibility for Medicare and the Pharmaceutical Benefits Scheme (PBS).</w:t>
            </w:r>
          </w:p>
          <w:p w:rsidR="0027512B" w:rsidRPr="00CD6C5C" w:rsidRDefault="0027512B" w:rsidP="007C5C30">
            <w:pPr>
              <w:pStyle w:val="Tableheadingrow9pt"/>
              <w:rPr>
                <w:color w:val="000000" w:themeColor="text1"/>
              </w:rPr>
            </w:pPr>
            <w:r w:rsidRPr="00CD6C5C">
              <w:rPr>
                <w:color w:val="000000" w:themeColor="text1"/>
              </w:rPr>
              <w:t xml:space="preserve">Program </w:t>
            </w:r>
            <w:r w:rsidR="00AF322E" w:rsidRPr="00CD6C5C">
              <w:rPr>
                <w:color w:val="000000" w:themeColor="text1"/>
              </w:rPr>
              <w:t xml:space="preserve">4.7: Health Benefit </w:t>
            </w:r>
            <w:r w:rsidRPr="00CD6C5C">
              <w:rPr>
                <w:color w:val="000000" w:themeColor="text1"/>
              </w:rPr>
              <w:t>Compliance</w:t>
            </w:r>
          </w:p>
          <w:p w:rsidR="0027512B" w:rsidRPr="00CD6C5C" w:rsidRDefault="0027512B" w:rsidP="007D4233">
            <w:pPr>
              <w:pStyle w:val="Tabletextnormal9pt"/>
              <w:rPr>
                <w:color w:val="000000" w:themeColor="text1"/>
              </w:rPr>
            </w:pPr>
            <w:r w:rsidRPr="00CD6C5C">
              <w:rPr>
                <w:color w:val="000000" w:themeColor="text1"/>
              </w:rPr>
              <w:t xml:space="preserve">Under the </w:t>
            </w:r>
            <w:r w:rsidR="007D4233">
              <w:rPr>
                <w:color w:val="000000" w:themeColor="text1"/>
              </w:rPr>
              <w:t xml:space="preserve">Health Provider </w:t>
            </w:r>
            <w:r w:rsidR="002D0C83">
              <w:rPr>
                <w:color w:val="000000" w:themeColor="text1"/>
              </w:rPr>
              <w:t>Compliance p</w:t>
            </w:r>
            <w:r w:rsidRPr="00CD6C5C">
              <w:rPr>
                <w:color w:val="000000" w:themeColor="text1"/>
              </w:rPr>
              <w:t>rogram, the Chief Executive Medicare refers suspected cases of inappropriate practice by health care service providers to the PSR for investigation.</w:t>
            </w:r>
          </w:p>
        </w:tc>
      </w:tr>
      <w:tr w:rsidR="00CD6C5C" w:rsidRPr="00CD6C5C" w:rsidTr="00DE1E14">
        <w:tc>
          <w:tcPr>
            <w:tcW w:w="5000" w:type="pct"/>
          </w:tcPr>
          <w:p w:rsidR="00571BAD" w:rsidRPr="00CD6C5C" w:rsidRDefault="00E155BC" w:rsidP="007C5C30">
            <w:pPr>
              <w:pStyle w:val="Tableheadingrow9pt"/>
              <w:rPr>
                <w:color w:val="000000" w:themeColor="text1"/>
              </w:rPr>
            </w:pPr>
            <w:r w:rsidRPr="00CD6C5C">
              <w:rPr>
                <w:color w:val="000000" w:themeColor="text1"/>
              </w:rPr>
              <w:t xml:space="preserve">Department of Human Services </w:t>
            </w:r>
            <w:r w:rsidR="00BD1E70">
              <w:rPr>
                <w:color w:val="000000" w:themeColor="text1"/>
              </w:rPr>
              <w:t>(DHS</w:t>
            </w:r>
            <w:r w:rsidR="005E45B1">
              <w:rPr>
                <w:color w:val="000000" w:themeColor="text1"/>
              </w:rPr>
              <w:t>)</w:t>
            </w:r>
          </w:p>
          <w:p w:rsidR="00E155BC" w:rsidRPr="00CD6C5C" w:rsidRDefault="00E155BC" w:rsidP="007C5C30">
            <w:pPr>
              <w:pStyle w:val="Tableheadingrow9pt"/>
              <w:rPr>
                <w:color w:val="000000" w:themeColor="text1"/>
              </w:rPr>
            </w:pPr>
            <w:r w:rsidRPr="00CD6C5C">
              <w:rPr>
                <w:color w:val="000000" w:themeColor="text1"/>
              </w:rPr>
              <w:t>Program 1.2: Services to the Community – Health</w:t>
            </w:r>
          </w:p>
          <w:p w:rsidR="00E155BC" w:rsidRPr="00CD6C5C" w:rsidRDefault="00BD1E70" w:rsidP="007C5C30">
            <w:pPr>
              <w:pStyle w:val="Tabletextnormal9pt"/>
              <w:rPr>
                <w:color w:val="000000" w:themeColor="text1"/>
              </w:rPr>
            </w:pPr>
            <w:r>
              <w:rPr>
                <w:color w:val="000000" w:themeColor="text1"/>
              </w:rPr>
              <w:t>DHS</w:t>
            </w:r>
            <w:r w:rsidR="00E155BC" w:rsidRPr="00CD6C5C">
              <w:rPr>
                <w:color w:val="000000" w:themeColor="text1"/>
              </w:rPr>
              <w:t xml:space="preserve"> administers the PBS, Repatriation PBS, Indigenous access to PBS, and Medicare services and benefit payments.</w:t>
            </w:r>
          </w:p>
        </w:tc>
      </w:tr>
    </w:tbl>
    <w:p w:rsidR="006F6123" w:rsidRPr="007934E2" w:rsidRDefault="006F6123" w:rsidP="007934E2">
      <w:pPr>
        <w:pStyle w:val="Heading4"/>
      </w:pPr>
      <w:r w:rsidRPr="007934E2">
        <w:t xml:space="preserve">Budgeted Expenses for </w:t>
      </w:r>
      <w:r w:rsidR="002377FC" w:rsidRPr="007934E2">
        <w:t>PSR</w:t>
      </w:r>
    </w:p>
    <w:p w:rsidR="00C6311F" w:rsidRPr="007934E2" w:rsidRDefault="00B40BE9" w:rsidP="007934E2">
      <w:r w:rsidRPr="00CD6C5C">
        <w:rPr>
          <w:color w:val="000000" w:themeColor="text1"/>
        </w:rPr>
        <w:t>Table 2.1.1</w:t>
      </w:r>
      <w:r w:rsidR="00C6311F" w:rsidRPr="00CD6C5C">
        <w:rPr>
          <w:color w:val="000000" w:themeColor="text1"/>
          <w:lang w:eastAsia="en-US"/>
        </w:rPr>
        <w:t xml:space="preserve"> shows how much the entity intends to spend (on an a</w:t>
      </w:r>
      <w:r w:rsidR="0075615D" w:rsidRPr="00CD6C5C">
        <w:rPr>
          <w:color w:val="000000" w:themeColor="text1"/>
          <w:lang w:eastAsia="en-US"/>
        </w:rPr>
        <w:t xml:space="preserve">ccrual basis) on </w:t>
      </w:r>
      <w:r w:rsidR="0075615D" w:rsidRPr="007934E2">
        <w:t xml:space="preserve">achieving the </w:t>
      </w:r>
      <w:r w:rsidR="00867B86" w:rsidRPr="007934E2">
        <w:t>o</w:t>
      </w:r>
      <w:r w:rsidR="00C6311F" w:rsidRPr="007934E2">
        <w:t xml:space="preserve">utcome, broken down by program, as well as by </w:t>
      </w:r>
      <w:r w:rsidR="00867B86" w:rsidRPr="007934E2">
        <w:t>a</w:t>
      </w:r>
      <w:r w:rsidR="00C6311F" w:rsidRPr="007934E2">
        <w:t xml:space="preserve">dministered and </w:t>
      </w:r>
      <w:r w:rsidR="00867B86" w:rsidRPr="007934E2">
        <w:t>d</w:t>
      </w:r>
      <w:r w:rsidR="00C6311F" w:rsidRPr="007934E2">
        <w:t xml:space="preserve">epartmental funding sources. </w:t>
      </w:r>
    </w:p>
    <w:p w:rsidR="006F6123" w:rsidRDefault="006F6123" w:rsidP="007934E2">
      <w:pPr>
        <w:pStyle w:val="Tablenumberandreference"/>
      </w:pPr>
      <w:r w:rsidRPr="007934E2">
        <w:t xml:space="preserve">Table 2.1.1: Budgeted Expenses for </w:t>
      </w:r>
      <w:r w:rsidR="002377FC" w:rsidRPr="007934E2">
        <w:t>PSR</w:t>
      </w:r>
    </w:p>
    <w:tbl>
      <w:tblPr>
        <w:tblW w:w="7370" w:type="dxa"/>
        <w:jc w:val="center"/>
        <w:tblLayout w:type="fixed"/>
        <w:tblLook w:val="04A0" w:firstRow="1" w:lastRow="0" w:firstColumn="1" w:lastColumn="0" w:noHBand="0" w:noVBand="1"/>
      </w:tblPr>
      <w:tblGrid>
        <w:gridCol w:w="2830"/>
        <w:gridCol w:w="26"/>
        <w:gridCol w:w="946"/>
        <w:gridCol w:w="892"/>
        <w:gridCol w:w="892"/>
        <w:gridCol w:w="892"/>
        <w:gridCol w:w="892"/>
      </w:tblGrid>
      <w:tr w:rsidR="009422A1" w:rsidRPr="009422A1" w:rsidTr="007763BB">
        <w:trPr>
          <w:trHeight w:val="765"/>
          <w:jc w:val="center"/>
        </w:trPr>
        <w:tc>
          <w:tcPr>
            <w:tcW w:w="2830" w:type="dxa"/>
            <w:tcBorders>
              <w:top w:val="single" w:sz="4" w:space="0" w:color="auto"/>
              <w:left w:val="nil"/>
              <w:bottom w:val="nil"/>
              <w:right w:val="nil"/>
            </w:tcBorders>
            <w:shd w:val="clear" w:color="auto" w:fill="auto"/>
            <w:hideMark/>
          </w:tcPr>
          <w:p w:rsidR="009422A1" w:rsidRPr="009422A1" w:rsidRDefault="009422A1" w:rsidP="007763BB">
            <w:pPr>
              <w:spacing w:before="40" w:after="0"/>
              <w:jc w:val="right"/>
              <w:rPr>
                <w:rFonts w:ascii="Times New Roman" w:hAnsi="Times New Roman"/>
                <w:color w:val="auto"/>
                <w:sz w:val="24"/>
                <w:szCs w:val="24"/>
              </w:rPr>
            </w:pPr>
          </w:p>
        </w:tc>
        <w:tc>
          <w:tcPr>
            <w:tcW w:w="972" w:type="dxa"/>
            <w:gridSpan w:val="2"/>
            <w:tcBorders>
              <w:top w:val="single" w:sz="4" w:space="0" w:color="auto"/>
              <w:left w:val="nil"/>
              <w:bottom w:val="single" w:sz="4" w:space="0" w:color="auto"/>
              <w:right w:val="nil"/>
            </w:tcBorders>
            <w:shd w:val="clear" w:color="auto" w:fill="auto"/>
            <w:tcMar>
              <w:left w:w="0" w:type="dxa"/>
            </w:tcMar>
            <w:hideMark/>
          </w:tcPr>
          <w:p w:rsidR="009422A1" w:rsidRPr="009422A1" w:rsidRDefault="009422A1" w:rsidP="007763BB">
            <w:pPr>
              <w:spacing w:before="40" w:after="0"/>
              <w:jc w:val="right"/>
              <w:rPr>
                <w:rFonts w:ascii="Arial" w:hAnsi="Arial" w:cs="Arial"/>
                <w:b/>
                <w:bCs/>
                <w:color w:val="auto"/>
                <w:sz w:val="16"/>
                <w:szCs w:val="16"/>
              </w:rPr>
            </w:pPr>
            <w:r w:rsidRPr="009422A1">
              <w:rPr>
                <w:rFonts w:ascii="Arial" w:hAnsi="Arial" w:cs="Arial"/>
                <w:b/>
                <w:bCs/>
                <w:color w:val="auto"/>
                <w:sz w:val="16"/>
                <w:szCs w:val="16"/>
              </w:rPr>
              <w:t>2018-19 Estimated actual</w:t>
            </w:r>
            <w:r w:rsidRPr="009422A1">
              <w:rPr>
                <w:rFonts w:ascii="Arial" w:hAnsi="Arial" w:cs="Arial"/>
                <w:b/>
                <w:bCs/>
                <w:color w:val="auto"/>
                <w:sz w:val="16"/>
                <w:szCs w:val="16"/>
              </w:rPr>
              <w:br/>
            </w:r>
            <w:r w:rsidRPr="009422A1">
              <w:rPr>
                <w:rFonts w:ascii="Arial" w:hAnsi="Arial" w:cs="Arial"/>
                <w:color w:val="auto"/>
                <w:sz w:val="16"/>
                <w:szCs w:val="16"/>
              </w:rPr>
              <w:t>$'000</w:t>
            </w:r>
          </w:p>
        </w:tc>
        <w:tc>
          <w:tcPr>
            <w:tcW w:w="892" w:type="dxa"/>
            <w:tcBorders>
              <w:top w:val="single" w:sz="4" w:space="0" w:color="auto"/>
              <w:left w:val="nil"/>
              <w:bottom w:val="single" w:sz="4" w:space="0" w:color="auto"/>
              <w:right w:val="nil"/>
            </w:tcBorders>
            <w:shd w:val="clear" w:color="000000" w:fill="D9D9D9"/>
            <w:hideMark/>
          </w:tcPr>
          <w:p w:rsidR="009422A1" w:rsidRPr="009422A1" w:rsidRDefault="009422A1" w:rsidP="007763BB">
            <w:pPr>
              <w:spacing w:before="40" w:after="0"/>
              <w:jc w:val="right"/>
              <w:rPr>
                <w:rFonts w:ascii="Arial" w:hAnsi="Arial" w:cs="Arial"/>
                <w:b/>
                <w:bCs/>
                <w:color w:val="auto"/>
                <w:sz w:val="16"/>
                <w:szCs w:val="16"/>
              </w:rPr>
            </w:pPr>
            <w:r w:rsidRPr="009422A1">
              <w:rPr>
                <w:rFonts w:ascii="Arial" w:hAnsi="Arial" w:cs="Arial"/>
                <w:b/>
                <w:bCs/>
                <w:color w:val="auto"/>
                <w:sz w:val="16"/>
                <w:szCs w:val="16"/>
              </w:rPr>
              <w:t xml:space="preserve">2019-20 Budget </w:t>
            </w:r>
            <w:r w:rsidRPr="009422A1">
              <w:rPr>
                <w:rFonts w:ascii="Arial" w:hAnsi="Arial" w:cs="Arial"/>
                <w:b/>
                <w:bCs/>
                <w:color w:val="auto"/>
                <w:sz w:val="16"/>
                <w:szCs w:val="16"/>
              </w:rPr>
              <w:br/>
            </w:r>
            <w:r w:rsidRPr="009422A1">
              <w:rPr>
                <w:rFonts w:ascii="Arial" w:hAnsi="Arial" w:cs="Arial"/>
                <w:b/>
                <w:bCs/>
                <w:color w:val="auto"/>
                <w:sz w:val="16"/>
                <w:szCs w:val="16"/>
              </w:rPr>
              <w:br/>
            </w:r>
            <w:r w:rsidRPr="009422A1">
              <w:rPr>
                <w:rFonts w:ascii="Arial" w:hAnsi="Arial" w:cs="Arial"/>
                <w:color w:val="auto"/>
                <w:sz w:val="16"/>
                <w:szCs w:val="16"/>
              </w:rPr>
              <w:t>$'000</w:t>
            </w:r>
          </w:p>
        </w:tc>
        <w:tc>
          <w:tcPr>
            <w:tcW w:w="892" w:type="dxa"/>
            <w:tcBorders>
              <w:top w:val="single" w:sz="4" w:space="0" w:color="auto"/>
              <w:left w:val="nil"/>
              <w:bottom w:val="single" w:sz="4" w:space="0" w:color="auto"/>
              <w:right w:val="nil"/>
            </w:tcBorders>
            <w:shd w:val="clear" w:color="auto" w:fill="auto"/>
            <w:hideMark/>
          </w:tcPr>
          <w:p w:rsidR="009422A1" w:rsidRPr="009422A1" w:rsidRDefault="009422A1" w:rsidP="007763BB">
            <w:pPr>
              <w:spacing w:before="40" w:after="0"/>
              <w:jc w:val="right"/>
              <w:rPr>
                <w:rFonts w:ascii="Arial" w:hAnsi="Arial" w:cs="Arial"/>
                <w:b/>
                <w:bCs/>
                <w:color w:val="auto"/>
                <w:sz w:val="16"/>
                <w:szCs w:val="16"/>
              </w:rPr>
            </w:pPr>
            <w:r w:rsidRPr="009422A1">
              <w:rPr>
                <w:rFonts w:ascii="Arial" w:hAnsi="Arial" w:cs="Arial"/>
                <w:b/>
                <w:bCs/>
                <w:color w:val="auto"/>
                <w:sz w:val="16"/>
                <w:szCs w:val="16"/>
              </w:rPr>
              <w:t>2020-21 Forward estimate</w:t>
            </w:r>
            <w:r w:rsidRPr="009422A1">
              <w:rPr>
                <w:rFonts w:ascii="Arial" w:hAnsi="Arial" w:cs="Arial"/>
                <w:color w:val="auto"/>
                <w:sz w:val="16"/>
                <w:szCs w:val="16"/>
              </w:rPr>
              <w:br/>
              <w:t>$'000</w:t>
            </w:r>
          </w:p>
        </w:tc>
        <w:tc>
          <w:tcPr>
            <w:tcW w:w="892" w:type="dxa"/>
            <w:tcBorders>
              <w:top w:val="single" w:sz="4" w:space="0" w:color="auto"/>
              <w:left w:val="nil"/>
              <w:bottom w:val="single" w:sz="4" w:space="0" w:color="auto"/>
              <w:right w:val="nil"/>
            </w:tcBorders>
            <w:shd w:val="clear" w:color="auto" w:fill="auto"/>
            <w:hideMark/>
          </w:tcPr>
          <w:p w:rsidR="009422A1" w:rsidRPr="009422A1" w:rsidRDefault="009422A1" w:rsidP="007763BB">
            <w:pPr>
              <w:spacing w:before="40" w:after="0"/>
              <w:jc w:val="right"/>
              <w:rPr>
                <w:rFonts w:ascii="Arial" w:hAnsi="Arial" w:cs="Arial"/>
                <w:b/>
                <w:bCs/>
                <w:color w:val="auto"/>
                <w:sz w:val="16"/>
                <w:szCs w:val="16"/>
              </w:rPr>
            </w:pPr>
            <w:r w:rsidRPr="009422A1">
              <w:rPr>
                <w:rFonts w:ascii="Arial" w:hAnsi="Arial" w:cs="Arial"/>
                <w:b/>
                <w:bCs/>
                <w:color w:val="auto"/>
                <w:sz w:val="16"/>
                <w:szCs w:val="16"/>
              </w:rPr>
              <w:t>2021-22 Forward estimate</w:t>
            </w:r>
            <w:r w:rsidRPr="009422A1">
              <w:rPr>
                <w:rFonts w:ascii="Arial" w:hAnsi="Arial" w:cs="Arial"/>
                <w:b/>
                <w:bCs/>
                <w:color w:val="auto"/>
                <w:sz w:val="16"/>
                <w:szCs w:val="16"/>
              </w:rPr>
              <w:br/>
            </w:r>
            <w:r w:rsidRPr="009422A1">
              <w:rPr>
                <w:rFonts w:ascii="Arial" w:hAnsi="Arial" w:cs="Arial"/>
                <w:color w:val="auto"/>
                <w:sz w:val="16"/>
                <w:szCs w:val="16"/>
              </w:rPr>
              <w:t>$'000</w:t>
            </w:r>
          </w:p>
        </w:tc>
        <w:tc>
          <w:tcPr>
            <w:tcW w:w="892" w:type="dxa"/>
            <w:tcBorders>
              <w:top w:val="single" w:sz="4" w:space="0" w:color="auto"/>
              <w:left w:val="nil"/>
              <w:bottom w:val="single" w:sz="4" w:space="0" w:color="auto"/>
              <w:right w:val="nil"/>
            </w:tcBorders>
            <w:shd w:val="clear" w:color="auto" w:fill="auto"/>
            <w:hideMark/>
          </w:tcPr>
          <w:p w:rsidR="009422A1" w:rsidRPr="009422A1" w:rsidRDefault="009422A1" w:rsidP="007763BB">
            <w:pPr>
              <w:spacing w:before="40" w:after="0"/>
              <w:jc w:val="right"/>
              <w:rPr>
                <w:rFonts w:ascii="Arial" w:hAnsi="Arial" w:cs="Arial"/>
                <w:b/>
                <w:bCs/>
                <w:color w:val="auto"/>
                <w:sz w:val="16"/>
                <w:szCs w:val="16"/>
              </w:rPr>
            </w:pPr>
            <w:r w:rsidRPr="009422A1">
              <w:rPr>
                <w:rFonts w:ascii="Arial" w:hAnsi="Arial" w:cs="Arial"/>
                <w:b/>
                <w:bCs/>
                <w:color w:val="auto"/>
                <w:sz w:val="16"/>
                <w:szCs w:val="16"/>
              </w:rPr>
              <w:t>2022-23 Forward estimate</w:t>
            </w:r>
            <w:r w:rsidRPr="009422A1">
              <w:rPr>
                <w:rFonts w:ascii="Arial" w:hAnsi="Arial" w:cs="Arial"/>
                <w:b/>
                <w:bCs/>
                <w:color w:val="auto"/>
                <w:sz w:val="16"/>
                <w:szCs w:val="16"/>
              </w:rPr>
              <w:br/>
            </w:r>
            <w:r w:rsidRPr="009422A1">
              <w:rPr>
                <w:rFonts w:ascii="Arial" w:hAnsi="Arial" w:cs="Arial"/>
                <w:color w:val="auto"/>
                <w:sz w:val="16"/>
                <w:szCs w:val="16"/>
              </w:rPr>
              <w:t>$'000</w:t>
            </w:r>
          </w:p>
        </w:tc>
      </w:tr>
      <w:tr w:rsidR="009422A1" w:rsidRPr="009422A1" w:rsidTr="007763BB">
        <w:trPr>
          <w:trHeight w:val="454"/>
          <w:jc w:val="center"/>
        </w:trPr>
        <w:tc>
          <w:tcPr>
            <w:tcW w:w="7370" w:type="dxa"/>
            <w:gridSpan w:val="7"/>
            <w:tcBorders>
              <w:top w:val="nil"/>
              <w:left w:val="nil"/>
              <w:bottom w:val="nil"/>
              <w:right w:val="nil"/>
            </w:tcBorders>
            <w:shd w:val="clear" w:color="auto" w:fill="auto"/>
            <w:vAlign w:val="bottom"/>
            <w:hideMark/>
          </w:tcPr>
          <w:p w:rsidR="009422A1" w:rsidRPr="009422A1" w:rsidRDefault="009422A1" w:rsidP="009422A1">
            <w:pPr>
              <w:spacing w:after="0"/>
              <w:rPr>
                <w:rFonts w:ascii="Arial" w:hAnsi="Arial" w:cs="Arial"/>
                <w:b/>
                <w:bCs/>
                <w:color w:val="auto"/>
                <w:sz w:val="16"/>
                <w:szCs w:val="16"/>
              </w:rPr>
            </w:pPr>
            <w:r w:rsidRPr="009422A1">
              <w:rPr>
                <w:rFonts w:ascii="Arial" w:hAnsi="Arial" w:cs="Arial"/>
                <w:b/>
                <w:bCs/>
                <w:color w:val="auto"/>
                <w:sz w:val="16"/>
                <w:szCs w:val="16"/>
              </w:rPr>
              <w:t xml:space="preserve">Program 1.1: Safeguarding the Integrity of the Medicare Program and </w:t>
            </w:r>
            <w:r>
              <w:rPr>
                <w:rFonts w:ascii="Arial" w:hAnsi="Arial" w:cs="Arial"/>
                <w:b/>
                <w:bCs/>
                <w:color w:val="auto"/>
                <w:sz w:val="16"/>
                <w:szCs w:val="16"/>
              </w:rPr>
              <w:t>Pharmaceutical </w:t>
            </w:r>
            <w:r w:rsidRPr="009422A1">
              <w:rPr>
                <w:rFonts w:ascii="Arial" w:hAnsi="Arial" w:cs="Arial"/>
                <w:b/>
                <w:bCs/>
                <w:color w:val="auto"/>
                <w:sz w:val="16"/>
                <w:szCs w:val="16"/>
              </w:rPr>
              <w:t>Benefits Scheme</w:t>
            </w:r>
          </w:p>
        </w:tc>
      </w:tr>
      <w:tr w:rsidR="009422A1" w:rsidRPr="009422A1" w:rsidTr="009422A1">
        <w:trPr>
          <w:trHeight w:val="300"/>
          <w:jc w:val="center"/>
        </w:trPr>
        <w:tc>
          <w:tcPr>
            <w:tcW w:w="2830" w:type="dxa"/>
            <w:tcBorders>
              <w:top w:val="nil"/>
              <w:left w:val="nil"/>
              <w:bottom w:val="nil"/>
              <w:right w:val="nil"/>
            </w:tcBorders>
            <w:shd w:val="clear" w:color="auto" w:fill="auto"/>
            <w:noWrap/>
            <w:vAlign w:val="bottom"/>
            <w:hideMark/>
          </w:tcPr>
          <w:p w:rsidR="009422A1" w:rsidRPr="009422A1" w:rsidRDefault="009422A1" w:rsidP="009422A1">
            <w:pPr>
              <w:spacing w:after="0"/>
              <w:ind w:firstLineChars="100" w:firstLine="160"/>
              <w:rPr>
                <w:rFonts w:ascii="Arial" w:hAnsi="Arial" w:cs="Arial"/>
                <w:color w:val="auto"/>
                <w:sz w:val="16"/>
                <w:szCs w:val="16"/>
              </w:rPr>
            </w:pPr>
            <w:r w:rsidRPr="009422A1">
              <w:rPr>
                <w:rFonts w:ascii="Arial" w:hAnsi="Arial" w:cs="Arial"/>
                <w:color w:val="auto"/>
                <w:sz w:val="16"/>
                <w:szCs w:val="16"/>
              </w:rPr>
              <w:t>Departmental expenses</w:t>
            </w:r>
          </w:p>
        </w:tc>
        <w:tc>
          <w:tcPr>
            <w:tcW w:w="972" w:type="dxa"/>
            <w:gridSpan w:val="2"/>
            <w:tcBorders>
              <w:top w:val="nil"/>
              <w:left w:val="nil"/>
              <w:bottom w:val="nil"/>
              <w:right w:val="nil"/>
            </w:tcBorders>
            <w:shd w:val="clear" w:color="auto" w:fill="auto"/>
            <w:vAlign w:val="bottom"/>
            <w:hideMark/>
          </w:tcPr>
          <w:p w:rsidR="009422A1" w:rsidRPr="009422A1" w:rsidRDefault="009422A1" w:rsidP="009422A1">
            <w:pPr>
              <w:spacing w:after="0"/>
              <w:ind w:firstLineChars="100" w:firstLine="160"/>
              <w:rPr>
                <w:rFonts w:ascii="Arial" w:hAnsi="Arial" w:cs="Arial"/>
                <w:color w:val="auto"/>
                <w:sz w:val="16"/>
                <w:szCs w:val="16"/>
              </w:rPr>
            </w:pPr>
          </w:p>
        </w:tc>
        <w:tc>
          <w:tcPr>
            <w:tcW w:w="892" w:type="dxa"/>
            <w:tcBorders>
              <w:top w:val="nil"/>
              <w:left w:val="nil"/>
              <w:bottom w:val="nil"/>
              <w:right w:val="nil"/>
            </w:tcBorders>
            <w:shd w:val="clear" w:color="000000" w:fill="D9D9D9"/>
            <w:noWrap/>
            <w:vAlign w:val="bottom"/>
            <w:hideMark/>
          </w:tcPr>
          <w:p w:rsidR="009422A1" w:rsidRPr="009422A1" w:rsidRDefault="009422A1" w:rsidP="009422A1">
            <w:pPr>
              <w:spacing w:after="0"/>
              <w:jc w:val="right"/>
              <w:rPr>
                <w:rFonts w:ascii="Arial" w:hAnsi="Arial" w:cs="Arial"/>
                <w:color w:val="auto"/>
                <w:sz w:val="16"/>
                <w:szCs w:val="16"/>
              </w:rPr>
            </w:pPr>
            <w:r w:rsidRPr="009422A1">
              <w:rPr>
                <w:rFonts w:ascii="Arial" w:hAnsi="Arial" w:cs="Arial"/>
                <w:color w:val="auto"/>
                <w:sz w:val="16"/>
                <w:szCs w:val="16"/>
              </w:rPr>
              <w:t> </w:t>
            </w:r>
          </w:p>
        </w:tc>
        <w:tc>
          <w:tcPr>
            <w:tcW w:w="892" w:type="dxa"/>
            <w:tcBorders>
              <w:top w:val="nil"/>
              <w:left w:val="nil"/>
              <w:bottom w:val="nil"/>
              <w:right w:val="nil"/>
            </w:tcBorders>
            <w:shd w:val="clear" w:color="auto" w:fill="auto"/>
            <w:vAlign w:val="bottom"/>
            <w:hideMark/>
          </w:tcPr>
          <w:p w:rsidR="009422A1" w:rsidRPr="009422A1" w:rsidRDefault="009422A1" w:rsidP="009422A1">
            <w:pPr>
              <w:spacing w:after="0"/>
              <w:jc w:val="right"/>
              <w:rPr>
                <w:rFonts w:ascii="Arial" w:hAnsi="Arial" w:cs="Arial"/>
                <w:color w:val="auto"/>
                <w:sz w:val="16"/>
                <w:szCs w:val="16"/>
              </w:rPr>
            </w:pPr>
          </w:p>
        </w:tc>
        <w:tc>
          <w:tcPr>
            <w:tcW w:w="892" w:type="dxa"/>
            <w:tcBorders>
              <w:top w:val="nil"/>
              <w:left w:val="nil"/>
              <w:bottom w:val="nil"/>
              <w:right w:val="nil"/>
            </w:tcBorders>
            <w:shd w:val="clear" w:color="auto" w:fill="auto"/>
            <w:vAlign w:val="bottom"/>
            <w:hideMark/>
          </w:tcPr>
          <w:p w:rsidR="009422A1" w:rsidRPr="009422A1" w:rsidRDefault="009422A1" w:rsidP="009422A1">
            <w:pPr>
              <w:spacing w:after="0"/>
              <w:jc w:val="right"/>
              <w:rPr>
                <w:rFonts w:ascii="Times New Roman" w:hAnsi="Times New Roman"/>
                <w:color w:val="auto"/>
              </w:rPr>
            </w:pPr>
          </w:p>
        </w:tc>
        <w:tc>
          <w:tcPr>
            <w:tcW w:w="892" w:type="dxa"/>
            <w:tcBorders>
              <w:top w:val="nil"/>
              <w:left w:val="nil"/>
              <w:bottom w:val="nil"/>
              <w:right w:val="nil"/>
            </w:tcBorders>
            <w:shd w:val="clear" w:color="auto" w:fill="auto"/>
            <w:vAlign w:val="bottom"/>
            <w:hideMark/>
          </w:tcPr>
          <w:p w:rsidR="009422A1" w:rsidRPr="009422A1" w:rsidRDefault="009422A1" w:rsidP="009422A1">
            <w:pPr>
              <w:spacing w:after="0"/>
              <w:jc w:val="right"/>
              <w:rPr>
                <w:rFonts w:ascii="Times New Roman" w:hAnsi="Times New Roman"/>
                <w:color w:val="auto"/>
              </w:rPr>
            </w:pPr>
          </w:p>
        </w:tc>
      </w:tr>
      <w:tr w:rsidR="009422A1" w:rsidRPr="009422A1" w:rsidTr="00811023">
        <w:trPr>
          <w:trHeight w:val="283"/>
          <w:jc w:val="center"/>
        </w:trPr>
        <w:tc>
          <w:tcPr>
            <w:tcW w:w="2830" w:type="dxa"/>
            <w:tcBorders>
              <w:top w:val="nil"/>
              <w:left w:val="nil"/>
              <w:bottom w:val="nil"/>
              <w:right w:val="nil"/>
            </w:tcBorders>
            <w:shd w:val="clear" w:color="auto" w:fill="auto"/>
            <w:noWrap/>
            <w:vAlign w:val="bottom"/>
            <w:hideMark/>
          </w:tcPr>
          <w:p w:rsidR="009422A1" w:rsidRPr="009422A1" w:rsidRDefault="009422A1" w:rsidP="009422A1">
            <w:pPr>
              <w:spacing w:after="0"/>
              <w:ind w:firstLineChars="200" w:firstLine="320"/>
              <w:rPr>
                <w:rFonts w:ascii="Arial" w:hAnsi="Arial" w:cs="Arial"/>
                <w:color w:val="auto"/>
                <w:sz w:val="16"/>
                <w:szCs w:val="16"/>
              </w:rPr>
            </w:pPr>
            <w:r w:rsidRPr="009422A1">
              <w:rPr>
                <w:rFonts w:ascii="Arial" w:hAnsi="Arial" w:cs="Arial"/>
                <w:color w:val="auto"/>
                <w:sz w:val="16"/>
                <w:szCs w:val="16"/>
              </w:rPr>
              <w:t>Departmental appropriation</w:t>
            </w:r>
            <w:r w:rsidRPr="009422A1">
              <w:rPr>
                <w:rFonts w:ascii="Arial" w:hAnsi="Arial" w:cs="Arial"/>
                <w:color w:val="auto"/>
                <w:sz w:val="16"/>
                <w:szCs w:val="16"/>
                <w:vertAlign w:val="superscript"/>
              </w:rPr>
              <w:t xml:space="preserve"> (a)</w:t>
            </w:r>
          </w:p>
        </w:tc>
        <w:tc>
          <w:tcPr>
            <w:tcW w:w="972" w:type="dxa"/>
            <w:gridSpan w:val="2"/>
            <w:tcBorders>
              <w:top w:val="nil"/>
              <w:left w:val="nil"/>
              <w:bottom w:val="nil"/>
              <w:right w:val="nil"/>
            </w:tcBorders>
            <w:shd w:val="clear" w:color="auto" w:fill="auto"/>
            <w:noWrap/>
            <w:vAlign w:val="bottom"/>
            <w:hideMark/>
          </w:tcPr>
          <w:p w:rsidR="009422A1" w:rsidRPr="009422A1" w:rsidRDefault="009422A1" w:rsidP="009422A1">
            <w:pPr>
              <w:spacing w:after="0"/>
              <w:jc w:val="right"/>
              <w:rPr>
                <w:rFonts w:ascii="Arial" w:hAnsi="Arial" w:cs="Arial"/>
                <w:color w:val="auto"/>
                <w:sz w:val="16"/>
                <w:szCs w:val="16"/>
              </w:rPr>
            </w:pPr>
            <w:r w:rsidRPr="009422A1">
              <w:rPr>
                <w:rFonts w:ascii="Arial" w:hAnsi="Arial" w:cs="Arial"/>
                <w:color w:val="auto"/>
                <w:sz w:val="16"/>
                <w:szCs w:val="16"/>
              </w:rPr>
              <w:t>6,946</w:t>
            </w:r>
          </w:p>
        </w:tc>
        <w:tc>
          <w:tcPr>
            <w:tcW w:w="892" w:type="dxa"/>
            <w:tcBorders>
              <w:top w:val="nil"/>
              <w:left w:val="nil"/>
              <w:bottom w:val="nil"/>
              <w:right w:val="nil"/>
            </w:tcBorders>
            <w:shd w:val="clear" w:color="000000" w:fill="D9D9D9"/>
            <w:noWrap/>
            <w:vAlign w:val="bottom"/>
            <w:hideMark/>
          </w:tcPr>
          <w:p w:rsidR="009422A1" w:rsidRPr="009422A1" w:rsidRDefault="009422A1" w:rsidP="009422A1">
            <w:pPr>
              <w:spacing w:after="0"/>
              <w:jc w:val="right"/>
              <w:rPr>
                <w:rFonts w:ascii="Arial" w:hAnsi="Arial" w:cs="Arial"/>
                <w:color w:val="auto"/>
                <w:sz w:val="16"/>
                <w:szCs w:val="16"/>
              </w:rPr>
            </w:pPr>
            <w:r w:rsidRPr="009422A1">
              <w:rPr>
                <w:rFonts w:ascii="Arial" w:hAnsi="Arial" w:cs="Arial"/>
                <w:color w:val="auto"/>
                <w:sz w:val="16"/>
                <w:szCs w:val="16"/>
              </w:rPr>
              <w:t>8,616</w:t>
            </w:r>
          </w:p>
        </w:tc>
        <w:tc>
          <w:tcPr>
            <w:tcW w:w="892" w:type="dxa"/>
            <w:tcBorders>
              <w:top w:val="nil"/>
              <w:left w:val="nil"/>
              <w:bottom w:val="nil"/>
              <w:right w:val="nil"/>
            </w:tcBorders>
            <w:shd w:val="clear" w:color="auto" w:fill="auto"/>
            <w:noWrap/>
            <w:vAlign w:val="bottom"/>
            <w:hideMark/>
          </w:tcPr>
          <w:p w:rsidR="009422A1" w:rsidRPr="009422A1" w:rsidRDefault="009422A1" w:rsidP="009422A1">
            <w:pPr>
              <w:spacing w:after="0"/>
              <w:jc w:val="right"/>
              <w:rPr>
                <w:rFonts w:ascii="Arial" w:hAnsi="Arial" w:cs="Arial"/>
                <w:color w:val="auto"/>
                <w:sz w:val="16"/>
                <w:szCs w:val="16"/>
              </w:rPr>
            </w:pPr>
            <w:r w:rsidRPr="009422A1">
              <w:rPr>
                <w:rFonts w:ascii="Arial" w:hAnsi="Arial" w:cs="Arial"/>
                <w:color w:val="auto"/>
                <w:sz w:val="16"/>
                <w:szCs w:val="16"/>
              </w:rPr>
              <w:t>8,673</w:t>
            </w:r>
          </w:p>
        </w:tc>
        <w:tc>
          <w:tcPr>
            <w:tcW w:w="892" w:type="dxa"/>
            <w:tcBorders>
              <w:top w:val="nil"/>
              <w:left w:val="nil"/>
              <w:bottom w:val="nil"/>
              <w:right w:val="nil"/>
            </w:tcBorders>
            <w:shd w:val="clear" w:color="auto" w:fill="auto"/>
            <w:noWrap/>
            <w:vAlign w:val="bottom"/>
            <w:hideMark/>
          </w:tcPr>
          <w:p w:rsidR="009422A1" w:rsidRPr="009422A1" w:rsidRDefault="009422A1" w:rsidP="009422A1">
            <w:pPr>
              <w:spacing w:after="0"/>
              <w:jc w:val="right"/>
              <w:rPr>
                <w:rFonts w:ascii="Arial" w:hAnsi="Arial" w:cs="Arial"/>
                <w:color w:val="auto"/>
                <w:sz w:val="16"/>
                <w:szCs w:val="16"/>
              </w:rPr>
            </w:pPr>
            <w:r w:rsidRPr="009422A1">
              <w:rPr>
                <w:rFonts w:ascii="Arial" w:hAnsi="Arial" w:cs="Arial"/>
                <w:color w:val="auto"/>
                <w:sz w:val="16"/>
                <w:szCs w:val="16"/>
              </w:rPr>
              <w:t>8,729</w:t>
            </w:r>
          </w:p>
        </w:tc>
        <w:tc>
          <w:tcPr>
            <w:tcW w:w="892" w:type="dxa"/>
            <w:tcBorders>
              <w:top w:val="nil"/>
              <w:left w:val="nil"/>
              <w:bottom w:val="nil"/>
              <w:right w:val="nil"/>
            </w:tcBorders>
            <w:shd w:val="clear" w:color="auto" w:fill="auto"/>
            <w:noWrap/>
            <w:vAlign w:val="bottom"/>
            <w:hideMark/>
          </w:tcPr>
          <w:p w:rsidR="009422A1" w:rsidRPr="009422A1" w:rsidRDefault="009422A1" w:rsidP="009422A1">
            <w:pPr>
              <w:spacing w:after="0"/>
              <w:jc w:val="right"/>
              <w:rPr>
                <w:rFonts w:ascii="Arial" w:hAnsi="Arial" w:cs="Arial"/>
                <w:color w:val="auto"/>
                <w:sz w:val="16"/>
                <w:szCs w:val="16"/>
              </w:rPr>
            </w:pPr>
            <w:r w:rsidRPr="009422A1">
              <w:rPr>
                <w:rFonts w:ascii="Arial" w:hAnsi="Arial" w:cs="Arial"/>
                <w:color w:val="auto"/>
                <w:sz w:val="16"/>
                <w:szCs w:val="16"/>
              </w:rPr>
              <w:t>8,792</w:t>
            </w:r>
          </w:p>
        </w:tc>
      </w:tr>
      <w:tr w:rsidR="009422A1" w:rsidRPr="009422A1" w:rsidTr="007763BB">
        <w:trPr>
          <w:trHeight w:val="450"/>
          <w:jc w:val="center"/>
        </w:trPr>
        <w:tc>
          <w:tcPr>
            <w:tcW w:w="2856" w:type="dxa"/>
            <w:gridSpan w:val="2"/>
            <w:tcBorders>
              <w:top w:val="nil"/>
              <w:left w:val="nil"/>
              <w:bottom w:val="nil"/>
              <w:right w:val="nil"/>
            </w:tcBorders>
            <w:shd w:val="clear" w:color="auto" w:fill="auto"/>
            <w:tcMar>
              <w:right w:w="0" w:type="dxa"/>
            </w:tcMar>
            <w:vAlign w:val="bottom"/>
            <w:hideMark/>
          </w:tcPr>
          <w:p w:rsidR="009422A1" w:rsidRPr="009422A1" w:rsidRDefault="009422A1" w:rsidP="007763BB">
            <w:pPr>
              <w:spacing w:after="0"/>
              <w:ind w:leftChars="150" w:left="300"/>
              <w:rPr>
                <w:rFonts w:ascii="Arial" w:hAnsi="Arial" w:cs="Arial"/>
                <w:color w:val="auto"/>
                <w:sz w:val="16"/>
                <w:szCs w:val="16"/>
              </w:rPr>
            </w:pPr>
            <w:r w:rsidRPr="009422A1">
              <w:rPr>
                <w:rFonts w:ascii="Arial" w:hAnsi="Arial" w:cs="Arial"/>
                <w:color w:val="auto"/>
                <w:sz w:val="16"/>
                <w:szCs w:val="16"/>
              </w:rPr>
              <w:t>Expenses not requiring appropriation in the Budget year</w:t>
            </w:r>
            <w:r w:rsidRPr="009422A1">
              <w:rPr>
                <w:rFonts w:ascii="Arial" w:hAnsi="Arial" w:cs="Arial"/>
                <w:color w:val="auto"/>
                <w:sz w:val="16"/>
                <w:szCs w:val="16"/>
                <w:vertAlign w:val="superscript"/>
              </w:rPr>
              <w:t xml:space="preserve"> (b)</w:t>
            </w:r>
          </w:p>
        </w:tc>
        <w:tc>
          <w:tcPr>
            <w:tcW w:w="946" w:type="dxa"/>
            <w:tcBorders>
              <w:top w:val="nil"/>
              <w:left w:val="nil"/>
              <w:bottom w:val="nil"/>
              <w:right w:val="nil"/>
            </w:tcBorders>
            <w:shd w:val="clear" w:color="auto" w:fill="auto"/>
            <w:noWrap/>
            <w:vAlign w:val="bottom"/>
            <w:hideMark/>
          </w:tcPr>
          <w:p w:rsidR="009422A1" w:rsidRPr="009422A1" w:rsidRDefault="009422A1" w:rsidP="009422A1">
            <w:pPr>
              <w:spacing w:after="0"/>
              <w:jc w:val="right"/>
              <w:rPr>
                <w:rFonts w:ascii="Arial" w:hAnsi="Arial" w:cs="Arial"/>
                <w:color w:val="auto"/>
                <w:sz w:val="16"/>
                <w:szCs w:val="16"/>
              </w:rPr>
            </w:pPr>
            <w:r w:rsidRPr="009422A1">
              <w:rPr>
                <w:rFonts w:ascii="Arial" w:hAnsi="Arial" w:cs="Arial"/>
                <w:color w:val="auto"/>
                <w:sz w:val="16"/>
                <w:szCs w:val="16"/>
              </w:rPr>
              <w:t>298</w:t>
            </w:r>
          </w:p>
        </w:tc>
        <w:tc>
          <w:tcPr>
            <w:tcW w:w="892" w:type="dxa"/>
            <w:tcBorders>
              <w:top w:val="nil"/>
              <w:left w:val="nil"/>
              <w:bottom w:val="nil"/>
              <w:right w:val="nil"/>
            </w:tcBorders>
            <w:shd w:val="clear" w:color="000000" w:fill="D9D9D9"/>
            <w:noWrap/>
            <w:vAlign w:val="bottom"/>
            <w:hideMark/>
          </w:tcPr>
          <w:p w:rsidR="009422A1" w:rsidRPr="009422A1" w:rsidRDefault="009422A1" w:rsidP="009422A1">
            <w:pPr>
              <w:spacing w:after="0"/>
              <w:jc w:val="right"/>
              <w:rPr>
                <w:rFonts w:ascii="Arial" w:hAnsi="Arial" w:cs="Arial"/>
                <w:color w:val="auto"/>
                <w:sz w:val="16"/>
                <w:szCs w:val="16"/>
              </w:rPr>
            </w:pPr>
            <w:r w:rsidRPr="009422A1">
              <w:rPr>
                <w:rFonts w:ascii="Arial" w:hAnsi="Arial" w:cs="Arial"/>
                <w:color w:val="auto"/>
                <w:sz w:val="16"/>
                <w:szCs w:val="16"/>
              </w:rPr>
              <w:t>325</w:t>
            </w:r>
          </w:p>
        </w:tc>
        <w:tc>
          <w:tcPr>
            <w:tcW w:w="892" w:type="dxa"/>
            <w:tcBorders>
              <w:top w:val="nil"/>
              <w:left w:val="nil"/>
              <w:bottom w:val="nil"/>
              <w:right w:val="nil"/>
            </w:tcBorders>
            <w:shd w:val="clear" w:color="auto" w:fill="auto"/>
            <w:noWrap/>
            <w:vAlign w:val="bottom"/>
            <w:hideMark/>
          </w:tcPr>
          <w:p w:rsidR="009422A1" w:rsidRPr="009422A1" w:rsidRDefault="009422A1" w:rsidP="009422A1">
            <w:pPr>
              <w:spacing w:after="0"/>
              <w:jc w:val="right"/>
              <w:rPr>
                <w:rFonts w:ascii="Arial" w:hAnsi="Arial" w:cs="Arial"/>
                <w:color w:val="auto"/>
                <w:sz w:val="16"/>
                <w:szCs w:val="16"/>
              </w:rPr>
            </w:pPr>
            <w:r w:rsidRPr="009422A1">
              <w:rPr>
                <w:rFonts w:ascii="Arial" w:hAnsi="Arial" w:cs="Arial"/>
                <w:color w:val="auto"/>
                <w:sz w:val="16"/>
                <w:szCs w:val="16"/>
              </w:rPr>
              <w:t>322</w:t>
            </w:r>
          </w:p>
        </w:tc>
        <w:tc>
          <w:tcPr>
            <w:tcW w:w="892" w:type="dxa"/>
            <w:tcBorders>
              <w:top w:val="nil"/>
              <w:left w:val="nil"/>
              <w:bottom w:val="nil"/>
              <w:right w:val="nil"/>
            </w:tcBorders>
            <w:shd w:val="clear" w:color="auto" w:fill="auto"/>
            <w:noWrap/>
            <w:vAlign w:val="bottom"/>
            <w:hideMark/>
          </w:tcPr>
          <w:p w:rsidR="009422A1" w:rsidRPr="009422A1" w:rsidRDefault="009422A1" w:rsidP="009422A1">
            <w:pPr>
              <w:spacing w:after="0"/>
              <w:jc w:val="right"/>
              <w:rPr>
                <w:rFonts w:ascii="Arial" w:hAnsi="Arial" w:cs="Arial"/>
                <w:color w:val="auto"/>
                <w:sz w:val="16"/>
                <w:szCs w:val="16"/>
              </w:rPr>
            </w:pPr>
            <w:r w:rsidRPr="009422A1">
              <w:rPr>
                <w:rFonts w:ascii="Arial" w:hAnsi="Arial" w:cs="Arial"/>
                <w:color w:val="auto"/>
                <w:sz w:val="16"/>
                <w:szCs w:val="16"/>
              </w:rPr>
              <w:t>313</w:t>
            </w:r>
          </w:p>
        </w:tc>
        <w:tc>
          <w:tcPr>
            <w:tcW w:w="892" w:type="dxa"/>
            <w:tcBorders>
              <w:top w:val="nil"/>
              <w:left w:val="nil"/>
              <w:bottom w:val="nil"/>
              <w:right w:val="nil"/>
            </w:tcBorders>
            <w:shd w:val="clear" w:color="auto" w:fill="auto"/>
            <w:noWrap/>
            <w:vAlign w:val="bottom"/>
            <w:hideMark/>
          </w:tcPr>
          <w:p w:rsidR="009422A1" w:rsidRPr="009422A1" w:rsidRDefault="009422A1" w:rsidP="009422A1">
            <w:pPr>
              <w:spacing w:after="0"/>
              <w:jc w:val="right"/>
              <w:rPr>
                <w:rFonts w:ascii="Arial" w:hAnsi="Arial" w:cs="Arial"/>
                <w:color w:val="auto"/>
                <w:sz w:val="16"/>
                <w:szCs w:val="16"/>
              </w:rPr>
            </w:pPr>
            <w:r w:rsidRPr="009422A1">
              <w:rPr>
                <w:rFonts w:ascii="Arial" w:hAnsi="Arial" w:cs="Arial"/>
                <w:color w:val="auto"/>
                <w:sz w:val="16"/>
                <w:szCs w:val="16"/>
              </w:rPr>
              <w:t>224</w:t>
            </w:r>
          </w:p>
        </w:tc>
      </w:tr>
      <w:tr w:rsidR="009422A1" w:rsidRPr="009422A1" w:rsidTr="00811023">
        <w:trPr>
          <w:trHeight w:val="283"/>
          <w:jc w:val="center"/>
        </w:trPr>
        <w:tc>
          <w:tcPr>
            <w:tcW w:w="2830" w:type="dxa"/>
            <w:tcBorders>
              <w:top w:val="nil"/>
              <w:left w:val="nil"/>
              <w:bottom w:val="nil"/>
              <w:right w:val="nil"/>
            </w:tcBorders>
            <w:shd w:val="clear" w:color="auto" w:fill="auto"/>
            <w:noWrap/>
            <w:vAlign w:val="bottom"/>
            <w:hideMark/>
          </w:tcPr>
          <w:p w:rsidR="009422A1" w:rsidRPr="009422A1" w:rsidRDefault="009422A1" w:rsidP="009422A1">
            <w:pPr>
              <w:spacing w:after="0"/>
              <w:ind w:firstLineChars="200" w:firstLine="320"/>
              <w:rPr>
                <w:rFonts w:ascii="Arial" w:hAnsi="Arial" w:cs="Arial"/>
                <w:color w:val="auto"/>
                <w:sz w:val="16"/>
                <w:szCs w:val="16"/>
              </w:rPr>
            </w:pPr>
            <w:r w:rsidRPr="009422A1">
              <w:rPr>
                <w:rFonts w:ascii="Arial" w:hAnsi="Arial" w:cs="Arial"/>
                <w:color w:val="auto"/>
                <w:sz w:val="16"/>
                <w:szCs w:val="16"/>
              </w:rPr>
              <w:t>Operating deficit (surplus)</w:t>
            </w:r>
          </w:p>
        </w:tc>
        <w:tc>
          <w:tcPr>
            <w:tcW w:w="972" w:type="dxa"/>
            <w:gridSpan w:val="2"/>
            <w:tcBorders>
              <w:top w:val="nil"/>
              <w:left w:val="nil"/>
              <w:bottom w:val="single" w:sz="4" w:space="0" w:color="auto"/>
              <w:right w:val="nil"/>
            </w:tcBorders>
            <w:shd w:val="clear" w:color="auto" w:fill="auto"/>
            <w:noWrap/>
            <w:vAlign w:val="bottom"/>
            <w:hideMark/>
          </w:tcPr>
          <w:p w:rsidR="009422A1" w:rsidRPr="009422A1" w:rsidRDefault="009422A1" w:rsidP="009422A1">
            <w:pPr>
              <w:spacing w:after="0"/>
              <w:jc w:val="right"/>
              <w:rPr>
                <w:rFonts w:ascii="Arial" w:hAnsi="Arial" w:cs="Arial"/>
                <w:color w:val="auto"/>
                <w:sz w:val="16"/>
                <w:szCs w:val="16"/>
              </w:rPr>
            </w:pPr>
            <w:r w:rsidRPr="009422A1">
              <w:rPr>
                <w:rFonts w:ascii="Arial" w:hAnsi="Arial" w:cs="Arial"/>
                <w:color w:val="auto"/>
                <w:sz w:val="16"/>
                <w:szCs w:val="16"/>
              </w:rPr>
              <w:t>-</w:t>
            </w:r>
          </w:p>
        </w:tc>
        <w:tc>
          <w:tcPr>
            <w:tcW w:w="892" w:type="dxa"/>
            <w:tcBorders>
              <w:top w:val="nil"/>
              <w:left w:val="nil"/>
              <w:bottom w:val="single" w:sz="4" w:space="0" w:color="auto"/>
              <w:right w:val="nil"/>
            </w:tcBorders>
            <w:shd w:val="clear" w:color="000000" w:fill="D9D9D9"/>
            <w:noWrap/>
            <w:vAlign w:val="bottom"/>
            <w:hideMark/>
          </w:tcPr>
          <w:p w:rsidR="009422A1" w:rsidRPr="009422A1" w:rsidRDefault="009422A1" w:rsidP="009422A1">
            <w:pPr>
              <w:spacing w:after="0"/>
              <w:jc w:val="right"/>
              <w:rPr>
                <w:rFonts w:ascii="Arial" w:hAnsi="Arial" w:cs="Arial"/>
                <w:color w:val="auto"/>
                <w:sz w:val="16"/>
                <w:szCs w:val="16"/>
              </w:rPr>
            </w:pPr>
            <w:r w:rsidRPr="009422A1">
              <w:rPr>
                <w:rFonts w:ascii="Arial" w:hAnsi="Arial" w:cs="Arial"/>
                <w:color w:val="auto"/>
                <w:sz w:val="16"/>
                <w:szCs w:val="16"/>
              </w:rPr>
              <w:t>-</w:t>
            </w:r>
          </w:p>
        </w:tc>
        <w:tc>
          <w:tcPr>
            <w:tcW w:w="892" w:type="dxa"/>
            <w:tcBorders>
              <w:top w:val="nil"/>
              <w:left w:val="nil"/>
              <w:bottom w:val="single" w:sz="4" w:space="0" w:color="auto"/>
              <w:right w:val="nil"/>
            </w:tcBorders>
            <w:shd w:val="clear" w:color="auto" w:fill="auto"/>
            <w:noWrap/>
            <w:vAlign w:val="bottom"/>
            <w:hideMark/>
          </w:tcPr>
          <w:p w:rsidR="009422A1" w:rsidRPr="009422A1" w:rsidRDefault="009422A1" w:rsidP="009422A1">
            <w:pPr>
              <w:spacing w:after="0"/>
              <w:jc w:val="right"/>
              <w:rPr>
                <w:rFonts w:ascii="Arial" w:hAnsi="Arial" w:cs="Arial"/>
                <w:color w:val="auto"/>
                <w:sz w:val="16"/>
                <w:szCs w:val="16"/>
              </w:rPr>
            </w:pPr>
            <w:r w:rsidRPr="009422A1">
              <w:rPr>
                <w:rFonts w:ascii="Arial" w:hAnsi="Arial" w:cs="Arial"/>
                <w:color w:val="auto"/>
                <w:sz w:val="16"/>
                <w:szCs w:val="16"/>
              </w:rPr>
              <w:t>-</w:t>
            </w:r>
          </w:p>
        </w:tc>
        <w:tc>
          <w:tcPr>
            <w:tcW w:w="892" w:type="dxa"/>
            <w:tcBorders>
              <w:top w:val="nil"/>
              <w:left w:val="nil"/>
              <w:bottom w:val="single" w:sz="4" w:space="0" w:color="auto"/>
              <w:right w:val="nil"/>
            </w:tcBorders>
            <w:shd w:val="clear" w:color="auto" w:fill="auto"/>
            <w:noWrap/>
            <w:vAlign w:val="bottom"/>
            <w:hideMark/>
          </w:tcPr>
          <w:p w:rsidR="009422A1" w:rsidRPr="009422A1" w:rsidRDefault="009422A1" w:rsidP="009422A1">
            <w:pPr>
              <w:spacing w:after="0"/>
              <w:jc w:val="right"/>
              <w:rPr>
                <w:rFonts w:ascii="Arial" w:hAnsi="Arial" w:cs="Arial"/>
                <w:color w:val="auto"/>
                <w:sz w:val="16"/>
                <w:szCs w:val="16"/>
              </w:rPr>
            </w:pPr>
            <w:r w:rsidRPr="009422A1">
              <w:rPr>
                <w:rFonts w:ascii="Arial" w:hAnsi="Arial" w:cs="Arial"/>
                <w:color w:val="auto"/>
                <w:sz w:val="16"/>
                <w:szCs w:val="16"/>
              </w:rPr>
              <w:t>-</w:t>
            </w:r>
          </w:p>
        </w:tc>
        <w:tc>
          <w:tcPr>
            <w:tcW w:w="892" w:type="dxa"/>
            <w:tcBorders>
              <w:top w:val="nil"/>
              <w:left w:val="nil"/>
              <w:bottom w:val="single" w:sz="4" w:space="0" w:color="auto"/>
              <w:right w:val="nil"/>
            </w:tcBorders>
            <w:shd w:val="clear" w:color="auto" w:fill="auto"/>
            <w:noWrap/>
            <w:vAlign w:val="bottom"/>
            <w:hideMark/>
          </w:tcPr>
          <w:p w:rsidR="009422A1" w:rsidRPr="009422A1" w:rsidRDefault="009422A1" w:rsidP="009422A1">
            <w:pPr>
              <w:spacing w:after="0"/>
              <w:jc w:val="right"/>
              <w:rPr>
                <w:rFonts w:ascii="Arial" w:hAnsi="Arial" w:cs="Arial"/>
                <w:color w:val="auto"/>
                <w:sz w:val="16"/>
                <w:szCs w:val="16"/>
              </w:rPr>
            </w:pPr>
            <w:r w:rsidRPr="009422A1">
              <w:rPr>
                <w:rFonts w:ascii="Arial" w:hAnsi="Arial" w:cs="Arial"/>
                <w:color w:val="auto"/>
                <w:sz w:val="16"/>
                <w:szCs w:val="16"/>
              </w:rPr>
              <w:t>-</w:t>
            </w:r>
          </w:p>
        </w:tc>
      </w:tr>
      <w:tr w:rsidR="009422A1" w:rsidRPr="009422A1" w:rsidTr="007763BB">
        <w:trPr>
          <w:trHeight w:val="283"/>
          <w:jc w:val="center"/>
        </w:trPr>
        <w:tc>
          <w:tcPr>
            <w:tcW w:w="2830" w:type="dxa"/>
            <w:tcBorders>
              <w:top w:val="nil"/>
              <w:left w:val="nil"/>
              <w:bottom w:val="nil"/>
              <w:right w:val="nil"/>
            </w:tcBorders>
            <w:shd w:val="clear" w:color="auto" w:fill="auto"/>
            <w:noWrap/>
            <w:vAlign w:val="bottom"/>
            <w:hideMark/>
          </w:tcPr>
          <w:p w:rsidR="009422A1" w:rsidRPr="009422A1" w:rsidRDefault="009422A1" w:rsidP="001B17A0">
            <w:pPr>
              <w:spacing w:after="0"/>
              <w:ind w:firstLineChars="100" w:firstLine="160"/>
              <w:rPr>
                <w:rFonts w:ascii="Arial" w:hAnsi="Arial" w:cs="Arial"/>
                <w:b/>
                <w:bCs/>
                <w:color w:val="auto"/>
                <w:sz w:val="16"/>
                <w:szCs w:val="16"/>
              </w:rPr>
            </w:pPr>
            <w:r w:rsidRPr="009422A1">
              <w:rPr>
                <w:rFonts w:ascii="Arial" w:hAnsi="Arial" w:cs="Arial"/>
                <w:b/>
                <w:bCs/>
                <w:color w:val="auto"/>
                <w:sz w:val="16"/>
                <w:szCs w:val="16"/>
              </w:rPr>
              <w:t>Total for Program 1.1</w:t>
            </w:r>
          </w:p>
        </w:tc>
        <w:tc>
          <w:tcPr>
            <w:tcW w:w="972" w:type="dxa"/>
            <w:gridSpan w:val="2"/>
            <w:tcBorders>
              <w:top w:val="nil"/>
              <w:left w:val="nil"/>
              <w:bottom w:val="single" w:sz="4" w:space="0" w:color="auto"/>
              <w:right w:val="nil"/>
            </w:tcBorders>
            <w:shd w:val="clear" w:color="auto" w:fill="auto"/>
            <w:noWrap/>
            <w:vAlign w:val="bottom"/>
            <w:hideMark/>
          </w:tcPr>
          <w:p w:rsidR="009422A1" w:rsidRPr="009422A1" w:rsidRDefault="009422A1" w:rsidP="009422A1">
            <w:pPr>
              <w:spacing w:after="0"/>
              <w:jc w:val="right"/>
              <w:rPr>
                <w:rFonts w:ascii="Arial" w:hAnsi="Arial" w:cs="Arial"/>
                <w:b/>
                <w:bCs/>
                <w:color w:val="auto"/>
                <w:sz w:val="16"/>
                <w:szCs w:val="16"/>
              </w:rPr>
            </w:pPr>
            <w:r w:rsidRPr="009422A1">
              <w:rPr>
                <w:rFonts w:ascii="Arial" w:hAnsi="Arial" w:cs="Arial"/>
                <w:b/>
                <w:bCs/>
                <w:color w:val="auto"/>
                <w:sz w:val="16"/>
                <w:szCs w:val="16"/>
              </w:rPr>
              <w:t>7,244</w:t>
            </w:r>
          </w:p>
        </w:tc>
        <w:tc>
          <w:tcPr>
            <w:tcW w:w="892" w:type="dxa"/>
            <w:tcBorders>
              <w:top w:val="nil"/>
              <w:left w:val="nil"/>
              <w:bottom w:val="single" w:sz="4" w:space="0" w:color="auto"/>
              <w:right w:val="nil"/>
            </w:tcBorders>
            <w:shd w:val="clear" w:color="000000" w:fill="D9D9D9"/>
            <w:noWrap/>
            <w:vAlign w:val="bottom"/>
            <w:hideMark/>
          </w:tcPr>
          <w:p w:rsidR="009422A1" w:rsidRPr="009422A1" w:rsidRDefault="009422A1" w:rsidP="009422A1">
            <w:pPr>
              <w:spacing w:after="0"/>
              <w:jc w:val="right"/>
              <w:rPr>
                <w:rFonts w:ascii="Arial" w:hAnsi="Arial" w:cs="Arial"/>
                <w:b/>
                <w:bCs/>
                <w:color w:val="auto"/>
                <w:sz w:val="16"/>
                <w:szCs w:val="16"/>
              </w:rPr>
            </w:pPr>
            <w:r w:rsidRPr="009422A1">
              <w:rPr>
                <w:rFonts w:ascii="Arial" w:hAnsi="Arial" w:cs="Arial"/>
                <w:b/>
                <w:bCs/>
                <w:color w:val="auto"/>
                <w:sz w:val="16"/>
                <w:szCs w:val="16"/>
              </w:rPr>
              <w:t>8,941</w:t>
            </w:r>
          </w:p>
        </w:tc>
        <w:tc>
          <w:tcPr>
            <w:tcW w:w="892" w:type="dxa"/>
            <w:tcBorders>
              <w:top w:val="nil"/>
              <w:left w:val="nil"/>
              <w:bottom w:val="single" w:sz="4" w:space="0" w:color="auto"/>
              <w:right w:val="nil"/>
            </w:tcBorders>
            <w:shd w:val="clear" w:color="auto" w:fill="auto"/>
            <w:noWrap/>
            <w:vAlign w:val="bottom"/>
            <w:hideMark/>
          </w:tcPr>
          <w:p w:rsidR="009422A1" w:rsidRPr="009422A1" w:rsidRDefault="009422A1" w:rsidP="009422A1">
            <w:pPr>
              <w:spacing w:after="0"/>
              <w:jc w:val="right"/>
              <w:rPr>
                <w:rFonts w:ascii="Arial" w:hAnsi="Arial" w:cs="Arial"/>
                <w:b/>
                <w:bCs/>
                <w:color w:val="auto"/>
                <w:sz w:val="16"/>
                <w:szCs w:val="16"/>
              </w:rPr>
            </w:pPr>
            <w:r w:rsidRPr="009422A1">
              <w:rPr>
                <w:rFonts w:ascii="Arial" w:hAnsi="Arial" w:cs="Arial"/>
                <w:b/>
                <w:bCs/>
                <w:color w:val="auto"/>
                <w:sz w:val="16"/>
                <w:szCs w:val="16"/>
              </w:rPr>
              <w:t>8,995</w:t>
            </w:r>
          </w:p>
        </w:tc>
        <w:tc>
          <w:tcPr>
            <w:tcW w:w="892" w:type="dxa"/>
            <w:tcBorders>
              <w:top w:val="nil"/>
              <w:left w:val="nil"/>
              <w:bottom w:val="single" w:sz="4" w:space="0" w:color="auto"/>
              <w:right w:val="nil"/>
            </w:tcBorders>
            <w:shd w:val="clear" w:color="auto" w:fill="auto"/>
            <w:noWrap/>
            <w:vAlign w:val="bottom"/>
            <w:hideMark/>
          </w:tcPr>
          <w:p w:rsidR="009422A1" w:rsidRPr="009422A1" w:rsidRDefault="009422A1" w:rsidP="009422A1">
            <w:pPr>
              <w:spacing w:after="0"/>
              <w:jc w:val="right"/>
              <w:rPr>
                <w:rFonts w:ascii="Arial" w:hAnsi="Arial" w:cs="Arial"/>
                <w:b/>
                <w:bCs/>
                <w:color w:val="auto"/>
                <w:sz w:val="16"/>
                <w:szCs w:val="16"/>
              </w:rPr>
            </w:pPr>
            <w:r w:rsidRPr="009422A1">
              <w:rPr>
                <w:rFonts w:ascii="Arial" w:hAnsi="Arial" w:cs="Arial"/>
                <w:b/>
                <w:bCs/>
                <w:color w:val="auto"/>
                <w:sz w:val="16"/>
                <w:szCs w:val="16"/>
              </w:rPr>
              <w:t>9,042</w:t>
            </w:r>
          </w:p>
        </w:tc>
        <w:tc>
          <w:tcPr>
            <w:tcW w:w="892" w:type="dxa"/>
            <w:tcBorders>
              <w:top w:val="nil"/>
              <w:left w:val="nil"/>
              <w:bottom w:val="single" w:sz="4" w:space="0" w:color="auto"/>
              <w:right w:val="nil"/>
            </w:tcBorders>
            <w:shd w:val="clear" w:color="auto" w:fill="auto"/>
            <w:noWrap/>
            <w:vAlign w:val="bottom"/>
            <w:hideMark/>
          </w:tcPr>
          <w:p w:rsidR="009422A1" w:rsidRPr="009422A1" w:rsidRDefault="009422A1" w:rsidP="009422A1">
            <w:pPr>
              <w:spacing w:after="0"/>
              <w:jc w:val="right"/>
              <w:rPr>
                <w:rFonts w:ascii="Arial" w:hAnsi="Arial" w:cs="Arial"/>
                <w:b/>
                <w:bCs/>
                <w:color w:val="auto"/>
                <w:sz w:val="16"/>
                <w:szCs w:val="16"/>
              </w:rPr>
            </w:pPr>
            <w:r w:rsidRPr="009422A1">
              <w:rPr>
                <w:rFonts w:ascii="Arial" w:hAnsi="Arial" w:cs="Arial"/>
                <w:b/>
                <w:bCs/>
                <w:color w:val="auto"/>
                <w:sz w:val="16"/>
                <w:szCs w:val="16"/>
              </w:rPr>
              <w:t>9,016</w:t>
            </w:r>
          </w:p>
        </w:tc>
      </w:tr>
      <w:tr w:rsidR="009422A1" w:rsidRPr="009422A1" w:rsidTr="007763BB">
        <w:trPr>
          <w:trHeight w:val="283"/>
          <w:jc w:val="center"/>
        </w:trPr>
        <w:tc>
          <w:tcPr>
            <w:tcW w:w="2830" w:type="dxa"/>
            <w:tcBorders>
              <w:top w:val="nil"/>
              <w:left w:val="nil"/>
              <w:bottom w:val="single" w:sz="4" w:space="0" w:color="auto"/>
              <w:right w:val="nil"/>
            </w:tcBorders>
            <w:shd w:val="clear" w:color="auto" w:fill="auto"/>
            <w:noWrap/>
            <w:vAlign w:val="bottom"/>
            <w:hideMark/>
          </w:tcPr>
          <w:p w:rsidR="009422A1" w:rsidRPr="009422A1" w:rsidRDefault="009422A1" w:rsidP="009422A1">
            <w:pPr>
              <w:spacing w:after="0"/>
              <w:rPr>
                <w:rFonts w:ascii="Arial" w:hAnsi="Arial" w:cs="Arial"/>
                <w:b/>
                <w:bCs/>
                <w:sz w:val="16"/>
                <w:szCs w:val="16"/>
              </w:rPr>
            </w:pPr>
            <w:r w:rsidRPr="009422A1">
              <w:rPr>
                <w:rFonts w:ascii="Arial" w:hAnsi="Arial" w:cs="Arial"/>
                <w:b/>
                <w:bCs/>
                <w:sz w:val="16"/>
                <w:szCs w:val="16"/>
              </w:rPr>
              <w:t>Total expenses for Outcome 1</w:t>
            </w:r>
          </w:p>
        </w:tc>
        <w:tc>
          <w:tcPr>
            <w:tcW w:w="972" w:type="dxa"/>
            <w:gridSpan w:val="2"/>
            <w:tcBorders>
              <w:top w:val="nil"/>
              <w:left w:val="nil"/>
              <w:bottom w:val="single" w:sz="4" w:space="0" w:color="auto"/>
              <w:right w:val="nil"/>
            </w:tcBorders>
            <w:shd w:val="clear" w:color="auto" w:fill="auto"/>
            <w:noWrap/>
            <w:vAlign w:val="bottom"/>
            <w:hideMark/>
          </w:tcPr>
          <w:p w:rsidR="009422A1" w:rsidRPr="009422A1" w:rsidRDefault="009422A1" w:rsidP="009422A1">
            <w:pPr>
              <w:spacing w:after="0"/>
              <w:jc w:val="right"/>
              <w:rPr>
                <w:rFonts w:ascii="Arial" w:hAnsi="Arial" w:cs="Arial"/>
                <w:b/>
                <w:bCs/>
                <w:color w:val="auto"/>
                <w:sz w:val="16"/>
                <w:szCs w:val="16"/>
              </w:rPr>
            </w:pPr>
            <w:r w:rsidRPr="009422A1">
              <w:rPr>
                <w:rFonts w:ascii="Arial" w:hAnsi="Arial" w:cs="Arial"/>
                <w:b/>
                <w:bCs/>
                <w:color w:val="auto"/>
                <w:sz w:val="16"/>
                <w:szCs w:val="16"/>
              </w:rPr>
              <w:t>7,244</w:t>
            </w:r>
          </w:p>
        </w:tc>
        <w:tc>
          <w:tcPr>
            <w:tcW w:w="892" w:type="dxa"/>
            <w:tcBorders>
              <w:top w:val="nil"/>
              <w:left w:val="nil"/>
              <w:bottom w:val="single" w:sz="4" w:space="0" w:color="auto"/>
              <w:right w:val="nil"/>
            </w:tcBorders>
            <w:shd w:val="clear" w:color="000000" w:fill="D9D9D9"/>
            <w:noWrap/>
            <w:vAlign w:val="bottom"/>
            <w:hideMark/>
          </w:tcPr>
          <w:p w:rsidR="009422A1" w:rsidRPr="009422A1" w:rsidRDefault="009422A1" w:rsidP="009422A1">
            <w:pPr>
              <w:spacing w:after="0"/>
              <w:jc w:val="right"/>
              <w:rPr>
                <w:rFonts w:ascii="Arial" w:hAnsi="Arial" w:cs="Arial"/>
                <w:b/>
                <w:bCs/>
                <w:color w:val="auto"/>
                <w:sz w:val="16"/>
                <w:szCs w:val="16"/>
              </w:rPr>
            </w:pPr>
            <w:r w:rsidRPr="009422A1">
              <w:rPr>
                <w:rFonts w:ascii="Arial" w:hAnsi="Arial" w:cs="Arial"/>
                <w:b/>
                <w:bCs/>
                <w:color w:val="auto"/>
                <w:sz w:val="16"/>
                <w:szCs w:val="16"/>
              </w:rPr>
              <w:t>8,941</w:t>
            </w:r>
          </w:p>
        </w:tc>
        <w:tc>
          <w:tcPr>
            <w:tcW w:w="892" w:type="dxa"/>
            <w:tcBorders>
              <w:top w:val="nil"/>
              <w:left w:val="nil"/>
              <w:bottom w:val="single" w:sz="4" w:space="0" w:color="auto"/>
              <w:right w:val="nil"/>
            </w:tcBorders>
            <w:shd w:val="clear" w:color="auto" w:fill="auto"/>
            <w:noWrap/>
            <w:vAlign w:val="bottom"/>
            <w:hideMark/>
          </w:tcPr>
          <w:p w:rsidR="009422A1" w:rsidRPr="009422A1" w:rsidRDefault="009422A1" w:rsidP="009422A1">
            <w:pPr>
              <w:spacing w:after="0"/>
              <w:jc w:val="right"/>
              <w:rPr>
                <w:rFonts w:ascii="Arial" w:hAnsi="Arial" w:cs="Arial"/>
                <w:b/>
                <w:bCs/>
                <w:color w:val="auto"/>
                <w:sz w:val="16"/>
                <w:szCs w:val="16"/>
              </w:rPr>
            </w:pPr>
            <w:r w:rsidRPr="009422A1">
              <w:rPr>
                <w:rFonts w:ascii="Arial" w:hAnsi="Arial" w:cs="Arial"/>
                <w:b/>
                <w:bCs/>
                <w:color w:val="auto"/>
                <w:sz w:val="16"/>
                <w:szCs w:val="16"/>
              </w:rPr>
              <w:t>8,995</w:t>
            </w:r>
          </w:p>
        </w:tc>
        <w:tc>
          <w:tcPr>
            <w:tcW w:w="892" w:type="dxa"/>
            <w:tcBorders>
              <w:top w:val="nil"/>
              <w:left w:val="nil"/>
              <w:bottom w:val="single" w:sz="4" w:space="0" w:color="auto"/>
              <w:right w:val="nil"/>
            </w:tcBorders>
            <w:shd w:val="clear" w:color="auto" w:fill="auto"/>
            <w:noWrap/>
            <w:vAlign w:val="bottom"/>
            <w:hideMark/>
          </w:tcPr>
          <w:p w:rsidR="009422A1" w:rsidRPr="009422A1" w:rsidRDefault="009422A1" w:rsidP="009422A1">
            <w:pPr>
              <w:spacing w:after="0"/>
              <w:jc w:val="right"/>
              <w:rPr>
                <w:rFonts w:ascii="Arial" w:hAnsi="Arial" w:cs="Arial"/>
                <w:b/>
                <w:bCs/>
                <w:color w:val="auto"/>
                <w:sz w:val="16"/>
                <w:szCs w:val="16"/>
              </w:rPr>
            </w:pPr>
            <w:r w:rsidRPr="009422A1">
              <w:rPr>
                <w:rFonts w:ascii="Arial" w:hAnsi="Arial" w:cs="Arial"/>
                <w:b/>
                <w:bCs/>
                <w:color w:val="auto"/>
                <w:sz w:val="16"/>
                <w:szCs w:val="16"/>
              </w:rPr>
              <w:t>9,042</w:t>
            </w:r>
          </w:p>
        </w:tc>
        <w:tc>
          <w:tcPr>
            <w:tcW w:w="892" w:type="dxa"/>
            <w:tcBorders>
              <w:top w:val="nil"/>
              <w:left w:val="nil"/>
              <w:bottom w:val="single" w:sz="4" w:space="0" w:color="auto"/>
              <w:right w:val="nil"/>
            </w:tcBorders>
            <w:shd w:val="clear" w:color="auto" w:fill="auto"/>
            <w:noWrap/>
            <w:vAlign w:val="bottom"/>
            <w:hideMark/>
          </w:tcPr>
          <w:p w:rsidR="009422A1" w:rsidRPr="009422A1" w:rsidRDefault="009422A1" w:rsidP="009422A1">
            <w:pPr>
              <w:spacing w:after="0"/>
              <w:jc w:val="right"/>
              <w:rPr>
                <w:rFonts w:ascii="Arial" w:hAnsi="Arial" w:cs="Arial"/>
                <w:b/>
                <w:bCs/>
                <w:color w:val="auto"/>
                <w:sz w:val="16"/>
                <w:szCs w:val="16"/>
              </w:rPr>
            </w:pPr>
            <w:r w:rsidRPr="009422A1">
              <w:rPr>
                <w:rFonts w:ascii="Arial" w:hAnsi="Arial" w:cs="Arial"/>
                <w:b/>
                <w:bCs/>
                <w:color w:val="auto"/>
                <w:sz w:val="16"/>
                <w:szCs w:val="16"/>
              </w:rPr>
              <w:t>9,016</w:t>
            </w:r>
          </w:p>
        </w:tc>
      </w:tr>
      <w:tr w:rsidR="009422A1" w:rsidRPr="009422A1" w:rsidTr="009422A1">
        <w:trPr>
          <w:trHeight w:val="225"/>
          <w:jc w:val="center"/>
        </w:trPr>
        <w:tc>
          <w:tcPr>
            <w:tcW w:w="2830" w:type="dxa"/>
            <w:tcBorders>
              <w:top w:val="nil"/>
              <w:left w:val="nil"/>
              <w:bottom w:val="single" w:sz="4" w:space="0" w:color="auto"/>
              <w:right w:val="nil"/>
            </w:tcBorders>
            <w:shd w:val="clear" w:color="auto" w:fill="auto"/>
            <w:noWrap/>
            <w:vAlign w:val="bottom"/>
            <w:hideMark/>
          </w:tcPr>
          <w:p w:rsidR="009422A1" w:rsidRPr="009422A1" w:rsidRDefault="009422A1" w:rsidP="009422A1">
            <w:pPr>
              <w:spacing w:after="0"/>
              <w:ind w:firstLineChars="100" w:firstLine="160"/>
              <w:rPr>
                <w:rFonts w:ascii="Arial" w:hAnsi="Arial" w:cs="Arial"/>
                <w:color w:val="auto"/>
                <w:sz w:val="16"/>
                <w:szCs w:val="16"/>
              </w:rPr>
            </w:pPr>
            <w:r w:rsidRPr="009422A1">
              <w:rPr>
                <w:rFonts w:ascii="Arial" w:hAnsi="Arial" w:cs="Arial"/>
                <w:color w:val="auto"/>
                <w:sz w:val="16"/>
                <w:szCs w:val="16"/>
              </w:rPr>
              <w:t> </w:t>
            </w:r>
          </w:p>
        </w:tc>
        <w:tc>
          <w:tcPr>
            <w:tcW w:w="972" w:type="dxa"/>
            <w:gridSpan w:val="2"/>
            <w:tcBorders>
              <w:top w:val="nil"/>
              <w:left w:val="nil"/>
              <w:bottom w:val="single" w:sz="4" w:space="0" w:color="auto"/>
              <w:right w:val="nil"/>
            </w:tcBorders>
            <w:shd w:val="clear" w:color="auto" w:fill="auto"/>
            <w:noWrap/>
            <w:vAlign w:val="bottom"/>
            <w:hideMark/>
          </w:tcPr>
          <w:p w:rsidR="009422A1" w:rsidRPr="009422A1" w:rsidRDefault="009422A1" w:rsidP="009422A1">
            <w:pPr>
              <w:spacing w:after="0"/>
              <w:jc w:val="right"/>
              <w:rPr>
                <w:rFonts w:ascii="Arial" w:hAnsi="Arial" w:cs="Arial"/>
                <w:sz w:val="16"/>
                <w:szCs w:val="16"/>
              </w:rPr>
            </w:pPr>
            <w:r w:rsidRPr="009422A1">
              <w:rPr>
                <w:rFonts w:ascii="Arial" w:hAnsi="Arial" w:cs="Arial"/>
                <w:sz w:val="16"/>
                <w:szCs w:val="16"/>
              </w:rPr>
              <w:t> </w:t>
            </w:r>
          </w:p>
        </w:tc>
        <w:tc>
          <w:tcPr>
            <w:tcW w:w="892" w:type="dxa"/>
            <w:tcBorders>
              <w:top w:val="nil"/>
              <w:left w:val="nil"/>
              <w:bottom w:val="single" w:sz="4" w:space="0" w:color="auto"/>
              <w:right w:val="nil"/>
            </w:tcBorders>
            <w:shd w:val="clear" w:color="auto" w:fill="auto"/>
            <w:noWrap/>
            <w:vAlign w:val="bottom"/>
            <w:hideMark/>
          </w:tcPr>
          <w:p w:rsidR="009422A1" w:rsidRPr="009422A1" w:rsidRDefault="009422A1" w:rsidP="009422A1">
            <w:pPr>
              <w:spacing w:after="0"/>
              <w:jc w:val="right"/>
              <w:rPr>
                <w:rFonts w:ascii="Arial" w:hAnsi="Arial" w:cs="Arial"/>
                <w:color w:val="auto"/>
                <w:sz w:val="16"/>
                <w:szCs w:val="16"/>
              </w:rPr>
            </w:pPr>
            <w:r w:rsidRPr="009422A1">
              <w:rPr>
                <w:rFonts w:ascii="Arial" w:hAnsi="Arial" w:cs="Arial"/>
                <w:color w:val="auto"/>
                <w:sz w:val="16"/>
                <w:szCs w:val="16"/>
              </w:rPr>
              <w:t> </w:t>
            </w:r>
          </w:p>
        </w:tc>
        <w:tc>
          <w:tcPr>
            <w:tcW w:w="892" w:type="dxa"/>
            <w:tcBorders>
              <w:top w:val="nil"/>
              <w:left w:val="nil"/>
              <w:bottom w:val="nil"/>
              <w:right w:val="nil"/>
            </w:tcBorders>
            <w:shd w:val="clear" w:color="auto" w:fill="auto"/>
            <w:noWrap/>
            <w:vAlign w:val="center"/>
            <w:hideMark/>
          </w:tcPr>
          <w:p w:rsidR="009422A1" w:rsidRPr="009422A1" w:rsidRDefault="009422A1" w:rsidP="009422A1">
            <w:pPr>
              <w:spacing w:after="0"/>
              <w:jc w:val="right"/>
              <w:rPr>
                <w:rFonts w:ascii="Arial" w:hAnsi="Arial" w:cs="Arial"/>
                <w:color w:val="auto"/>
                <w:sz w:val="16"/>
                <w:szCs w:val="16"/>
              </w:rPr>
            </w:pPr>
          </w:p>
        </w:tc>
        <w:tc>
          <w:tcPr>
            <w:tcW w:w="892" w:type="dxa"/>
            <w:tcBorders>
              <w:top w:val="nil"/>
              <w:left w:val="nil"/>
              <w:bottom w:val="nil"/>
              <w:right w:val="nil"/>
            </w:tcBorders>
            <w:shd w:val="clear" w:color="auto" w:fill="auto"/>
            <w:noWrap/>
            <w:vAlign w:val="center"/>
            <w:hideMark/>
          </w:tcPr>
          <w:p w:rsidR="009422A1" w:rsidRPr="009422A1" w:rsidRDefault="009422A1" w:rsidP="009422A1">
            <w:pPr>
              <w:spacing w:after="0"/>
              <w:rPr>
                <w:rFonts w:ascii="Times New Roman" w:hAnsi="Times New Roman"/>
                <w:color w:val="auto"/>
              </w:rPr>
            </w:pPr>
          </w:p>
        </w:tc>
        <w:tc>
          <w:tcPr>
            <w:tcW w:w="892" w:type="dxa"/>
            <w:tcBorders>
              <w:top w:val="nil"/>
              <w:left w:val="nil"/>
              <w:bottom w:val="nil"/>
              <w:right w:val="nil"/>
            </w:tcBorders>
            <w:shd w:val="clear" w:color="auto" w:fill="auto"/>
            <w:noWrap/>
            <w:vAlign w:val="center"/>
            <w:hideMark/>
          </w:tcPr>
          <w:p w:rsidR="009422A1" w:rsidRPr="009422A1" w:rsidRDefault="009422A1" w:rsidP="009422A1">
            <w:pPr>
              <w:spacing w:after="0"/>
              <w:rPr>
                <w:rFonts w:ascii="Times New Roman" w:hAnsi="Times New Roman"/>
                <w:color w:val="auto"/>
              </w:rPr>
            </w:pPr>
          </w:p>
        </w:tc>
      </w:tr>
      <w:tr w:rsidR="009422A1" w:rsidRPr="009422A1" w:rsidTr="009422A1">
        <w:trPr>
          <w:trHeight w:val="225"/>
          <w:jc w:val="center"/>
        </w:trPr>
        <w:tc>
          <w:tcPr>
            <w:tcW w:w="2830" w:type="dxa"/>
            <w:tcBorders>
              <w:top w:val="nil"/>
              <w:left w:val="nil"/>
              <w:bottom w:val="nil"/>
              <w:right w:val="nil"/>
            </w:tcBorders>
            <w:shd w:val="clear" w:color="auto" w:fill="auto"/>
            <w:noWrap/>
            <w:vAlign w:val="bottom"/>
            <w:hideMark/>
          </w:tcPr>
          <w:p w:rsidR="009422A1" w:rsidRPr="009422A1" w:rsidRDefault="009422A1" w:rsidP="009422A1">
            <w:pPr>
              <w:spacing w:after="0"/>
              <w:rPr>
                <w:rFonts w:ascii="Times New Roman" w:hAnsi="Times New Roman"/>
                <w:color w:val="auto"/>
              </w:rPr>
            </w:pPr>
          </w:p>
        </w:tc>
        <w:tc>
          <w:tcPr>
            <w:tcW w:w="972" w:type="dxa"/>
            <w:gridSpan w:val="2"/>
            <w:tcBorders>
              <w:top w:val="nil"/>
              <w:left w:val="nil"/>
              <w:bottom w:val="single" w:sz="4" w:space="0" w:color="000000"/>
              <w:right w:val="nil"/>
            </w:tcBorders>
            <w:shd w:val="clear" w:color="auto" w:fill="auto"/>
            <w:noWrap/>
            <w:vAlign w:val="bottom"/>
            <w:hideMark/>
          </w:tcPr>
          <w:p w:rsidR="009422A1" w:rsidRPr="009422A1" w:rsidRDefault="009422A1" w:rsidP="009422A1">
            <w:pPr>
              <w:spacing w:after="0"/>
              <w:jc w:val="right"/>
              <w:rPr>
                <w:rFonts w:ascii="Arial" w:hAnsi="Arial" w:cs="Arial"/>
                <w:b/>
                <w:bCs/>
                <w:color w:val="auto"/>
                <w:sz w:val="16"/>
                <w:szCs w:val="16"/>
              </w:rPr>
            </w:pPr>
            <w:r w:rsidRPr="009422A1">
              <w:rPr>
                <w:rFonts w:ascii="Arial" w:hAnsi="Arial" w:cs="Arial"/>
                <w:b/>
                <w:bCs/>
                <w:color w:val="auto"/>
                <w:sz w:val="16"/>
                <w:szCs w:val="16"/>
              </w:rPr>
              <w:t>2018-19</w:t>
            </w:r>
          </w:p>
        </w:tc>
        <w:tc>
          <w:tcPr>
            <w:tcW w:w="892" w:type="dxa"/>
            <w:tcBorders>
              <w:top w:val="nil"/>
              <w:left w:val="nil"/>
              <w:bottom w:val="single" w:sz="4" w:space="0" w:color="000000"/>
              <w:right w:val="nil"/>
            </w:tcBorders>
            <w:shd w:val="clear" w:color="000000" w:fill="D9D9D9"/>
            <w:noWrap/>
            <w:vAlign w:val="bottom"/>
            <w:hideMark/>
          </w:tcPr>
          <w:p w:rsidR="009422A1" w:rsidRPr="009422A1" w:rsidRDefault="009422A1" w:rsidP="009422A1">
            <w:pPr>
              <w:spacing w:after="0"/>
              <w:jc w:val="right"/>
              <w:rPr>
                <w:rFonts w:ascii="Arial" w:hAnsi="Arial" w:cs="Arial"/>
                <w:b/>
                <w:bCs/>
                <w:color w:val="auto"/>
                <w:sz w:val="16"/>
                <w:szCs w:val="16"/>
              </w:rPr>
            </w:pPr>
            <w:r w:rsidRPr="009422A1">
              <w:rPr>
                <w:rFonts w:ascii="Arial" w:hAnsi="Arial" w:cs="Arial"/>
                <w:b/>
                <w:bCs/>
                <w:color w:val="auto"/>
                <w:sz w:val="16"/>
                <w:szCs w:val="16"/>
              </w:rPr>
              <w:t>2019-20</w:t>
            </w:r>
          </w:p>
        </w:tc>
        <w:tc>
          <w:tcPr>
            <w:tcW w:w="892" w:type="dxa"/>
            <w:tcBorders>
              <w:top w:val="nil"/>
              <w:left w:val="nil"/>
              <w:bottom w:val="nil"/>
              <w:right w:val="nil"/>
            </w:tcBorders>
            <w:shd w:val="clear" w:color="auto" w:fill="auto"/>
            <w:noWrap/>
            <w:vAlign w:val="center"/>
            <w:hideMark/>
          </w:tcPr>
          <w:p w:rsidR="009422A1" w:rsidRPr="009422A1" w:rsidRDefault="009422A1" w:rsidP="009422A1">
            <w:pPr>
              <w:spacing w:after="0"/>
              <w:jc w:val="right"/>
              <w:rPr>
                <w:rFonts w:ascii="Arial" w:hAnsi="Arial" w:cs="Arial"/>
                <w:b/>
                <w:bCs/>
                <w:color w:val="auto"/>
                <w:sz w:val="16"/>
                <w:szCs w:val="16"/>
              </w:rPr>
            </w:pPr>
          </w:p>
        </w:tc>
        <w:tc>
          <w:tcPr>
            <w:tcW w:w="892" w:type="dxa"/>
            <w:tcBorders>
              <w:top w:val="nil"/>
              <w:left w:val="nil"/>
              <w:bottom w:val="nil"/>
              <w:right w:val="nil"/>
            </w:tcBorders>
            <w:shd w:val="clear" w:color="auto" w:fill="auto"/>
            <w:noWrap/>
            <w:vAlign w:val="center"/>
            <w:hideMark/>
          </w:tcPr>
          <w:p w:rsidR="009422A1" w:rsidRPr="009422A1" w:rsidRDefault="009422A1" w:rsidP="009422A1">
            <w:pPr>
              <w:spacing w:after="0"/>
              <w:rPr>
                <w:rFonts w:ascii="Times New Roman" w:hAnsi="Times New Roman"/>
                <w:color w:val="auto"/>
              </w:rPr>
            </w:pPr>
          </w:p>
        </w:tc>
        <w:tc>
          <w:tcPr>
            <w:tcW w:w="892" w:type="dxa"/>
            <w:tcBorders>
              <w:top w:val="nil"/>
              <w:left w:val="nil"/>
              <w:bottom w:val="nil"/>
              <w:right w:val="nil"/>
            </w:tcBorders>
            <w:shd w:val="clear" w:color="auto" w:fill="auto"/>
            <w:noWrap/>
            <w:vAlign w:val="center"/>
            <w:hideMark/>
          </w:tcPr>
          <w:p w:rsidR="009422A1" w:rsidRPr="009422A1" w:rsidRDefault="009422A1" w:rsidP="009422A1">
            <w:pPr>
              <w:spacing w:after="0"/>
              <w:rPr>
                <w:rFonts w:ascii="Times New Roman" w:hAnsi="Times New Roman"/>
                <w:color w:val="auto"/>
              </w:rPr>
            </w:pPr>
          </w:p>
        </w:tc>
      </w:tr>
      <w:tr w:rsidR="009422A1" w:rsidRPr="009422A1" w:rsidTr="009422A1">
        <w:trPr>
          <w:trHeight w:val="225"/>
          <w:jc w:val="center"/>
        </w:trPr>
        <w:tc>
          <w:tcPr>
            <w:tcW w:w="2830" w:type="dxa"/>
            <w:tcBorders>
              <w:top w:val="nil"/>
              <w:left w:val="nil"/>
              <w:bottom w:val="single" w:sz="4" w:space="0" w:color="auto"/>
              <w:right w:val="nil"/>
            </w:tcBorders>
            <w:shd w:val="clear" w:color="auto" w:fill="auto"/>
            <w:noWrap/>
            <w:vAlign w:val="bottom"/>
            <w:hideMark/>
          </w:tcPr>
          <w:p w:rsidR="009422A1" w:rsidRPr="009422A1" w:rsidRDefault="009422A1" w:rsidP="009422A1">
            <w:pPr>
              <w:spacing w:after="0"/>
              <w:rPr>
                <w:rFonts w:ascii="Arial" w:hAnsi="Arial" w:cs="Arial"/>
                <w:b/>
                <w:bCs/>
                <w:sz w:val="16"/>
                <w:szCs w:val="16"/>
              </w:rPr>
            </w:pPr>
            <w:r w:rsidRPr="009422A1">
              <w:rPr>
                <w:rFonts w:ascii="Arial" w:hAnsi="Arial" w:cs="Arial"/>
                <w:b/>
                <w:bCs/>
                <w:sz w:val="16"/>
                <w:szCs w:val="16"/>
              </w:rPr>
              <w:t xml:space="preserve">Average </w:t>
            </w:r>
            <w:r w:rsidRPr="009422A1">
              <w:rPr>
                <w:rFonts w:ascii="Arial" w:hAnsi="Arial" w:cs="Arial"/>
                <w:b/>
                <w:bCs/>
                <w:color w:val="auto"/>
                <w:sz w:val="16"/>
                <w:szCs w:val="16"/>
              </w:rPr>
              <w:t>s</w:t>
            </w:r>
            <w:r w:rsidRPr="009422A1">
              <w:rPr>
                <w:rFonts w:ascii="Arial" w:hAnsi="Arial" w:cs="Arial"/>
                <w:b/>
                <w:bCs/>
                <w:sz w:val="16"/>
                <w:szCs w:val="16"/>
              </w:rPr>
              <w:t xml:space="preserve">taffing </w:t>
            </w:r>
            <w:r w:rsidRPr="009422A1">
              <w:rPr>
                <w:rFonts w:ascii="Arial" w:hAnsi="Arial" w:cs="Arial"/>
                <w:b/>
                <w:bCs/>
                <w:color w:val="auto"/>
                <w:sz w:val="16"/>
                <w:szCs w:val="16"/>
              </w:rPr>
              <w:t>l</w:t>
            </w:r>
            <w:r w:rsidRPr="009422A1">
              <w:rPr>
                <w:rFonts w:ascii="Arial" w:hAnsi="Arial" w:cs="Arial"/>
                <w:b/>
                <w:bCs/>
                <w:sz w:val="16"/>
                <w:szCs w:val="16"/>
              </w:rPr>
              <w:t>evel (number)</w:t>
            </w:r>
          </w:p>
        </w:tc>
        <w:tc>
          <w:tcPr>
            <w:tcW w:w="972" w:type="dxa"/>
            <w:gridSpan w:val="2"/>
            <w:tcBorders>
              <w:top w:val="nil"/>
              <w:left w:val="nil"/>
              <w:bottom w:val="single" w:sz="4" w:space="0" w:color="auto"/>
              <w:right w:val="nil"/>
            </w:tcBorders>
            <w:shd w:val="clear" w:color="auto" w:fill="auto"/>
            <w:noWrap/>
            <w:vAlign w:val="bottom"/>
            <w:hideMark/>
          </w:tcPr>
          <w:p w:rsidR="009422A1" w:rsidRPr="009422A1" w:rsidRDefault="009422A1" w:rsidP="009422A1">
            <w:pPr>
              <w:spacing w:after="0"/>
              <w:jc w:val="right"/>
              <w:rPr>
                <w:rFonts w:ascii="Arial" w:hAnsi="Arial" w:cs="Arial"/>
                <w:sz w:val="16"/>
                <w:szCs w:val="16"/>
              </w:rPr>
            </w:pPr>
            <w:r w:rsidRPr="009422A1">
              <w:rPr>
                <w:rFonts w:ascii="Arial" w:hAnsi="Arial" w:cs="Arial"/>
                <w:sz w:val="16"/>
                <w:szCs w:val="16"/>
              </w:rPr>
              <w:t>25</w:t>
            </w:r>
          </w:p>
        </w:tc>
        <w:tc>
          <w:tcPr>
            <w:tcW w:w="892" w:type="dxa"/>
            <w:tcBorders>
              <w:top w:val="nil"/>
              <w:left w:val="nil"/>
              <w:bottom w:val="single" w:sz="4" w:space="0" w:color="auto"/>
              <w:right w:val="nil"/>
            </w:tcBorders>
            <w:shd w:val="clear" w:color="000000" w:fill="D9D9D9"/>
            <w:noWrap/>
            <w:vAlign w:val="bottom"/>
            <w:hideMark/>
          </w:tcPr>
          <w:p w:rsidR="009422A1" w:rsidRPr="009422A1" w:rsidRDefault="009422A1" w:rsidP="009422A1">
            <w:pPr>
              <w:spacing w:after="0"/>
              <w:jc w:val="right"/>
              <w:rPr>
                <w:rFonts w:ascii="Arial" w:hAnsi="Arial" w:cs="Arial"/>
                <w:sz w:val="16"/>
                <w:szCs w:val="16"/>
              </w:rPr>
            </w:pPr>
            <w:r w:rsidRPr="009422A1">
              <w:rPr>
                <w:rFonts w:ascii="Arial" w:hAnsi="Arial" w:cs="Arial"/>
                <w:sz w:val="16"/>
                <w:szCs w:val="16"/>
              </w:rPr>
              <w:t>25</w:t>
            </w:r>
          </w:p>
        </w:tc>
        <w:tc>
          <w:tcPr>
            <w:tcW w:w="892" w:type="dxa"/>
            <w:tcBorders>
              <w:top w:val="nil"/>
              <w:left w:val="nil"/>
              <w:bottom w:val="nil"/>
              <w:right w:val="nil"/>
            </w:tcBorders>
            <w:shd w:val="clear" w:color="auto" w:fill="auto"/>
            <w:noWrap/>
            <w:vAlign w:val="center"/>
            <w:hideMark/>
          </w:tcPr>
          <w:p w:rsidR="009422A1" w:rsidRPr="009422A1" w:rsidRDefault="009422A1" w:rsidP="009422A1">
            <w:pPr>
              <w:spacing w:after="0"/>
              <w:jc w:val="right"/>
              <w:rPr>
                <w:rFonts w:ascii="Arial" w:hAnsi="Arial" w:cs="Arial"/>
                <w:sz w:val="16"/>
                <w:szCs w:val="16"/>
              </w:rPr>
            </w:pPr>
          </w:p>
        </w:tc>
        <w:tc>
          <w:tcPr>
            <w:tcW w:w="892" w:type="dxa"/>
            <w:tcBorders>
              <w:top w:val="nil"/>
              <w:left w:val="nil"/>
              <w:bottom w:val="nil"/>
              <w:right w:val="nil"/>
            </w:tcBorders>
            <w:shd w:val="clear" w:color="auto" w:fill="auto"/>
            <w:noWrap/>
            <w:vAlign w:val="center"/>
            <w:hideMark/>
          </w:tcPr>
          <w:p w:rsidR="009422A1" w:rsidRPr="009422A1" w:rsidRDefault="009422A1" w:rsidP="009422A1">
            <w:pPr>
              <w:spacing w:after="0"/>
              <w:rPr>
                <w:rFonts w:ascii="Times New Roman" w:hAnsi="Times New Roman"/>
                <w:color w:val="auto"/>
              </w:rPr>
            </w:pPr>
          </w:p>
        </w:tc>
        <w:tc>
          <w:tcPr>
            <w:tcW w:w="892" w:type="dxa"/>
            <w:tcBorders>
              <w:top w:val="nil"/>
              <w:left w:val="nil"/>
              <w:bottom w:val="nil"/>
              <w:right w:val="nil"/>
            </w:tcBorders>
            <w:shd w:val="clear" w:color="auto" w:fill="auto"/>
            <w:noWrap/>
            <w:vAlign w:val="center"/>
            <w:hideMark/>
          </w:tcPr>
          <w:p w:rsidR="009422A1" w:rsidRPr="009422A1" w:rsidRDefault="009422A1" w:rsidP="009422A1">
            <w:pPr>
              <w:spacing w:after="0"/>
              <w:rPr>
                <w:rFonts w:ascii="Times New Roman" w:hAnsi="Times New Roman"/>
                <w:color w:val="auto"/>
              </w:rPr>
            </w:pPr>
          </w:p>
        </w:tc>
      </w:tr>
    </w:tbl>
    <w:p w:rsidR="009422A1" w:rsidRDefault="009422A1" w:rsidP="009422A1">
      <w:pPr>
        <w:pStyle w:val="FootnoteText"/>
        <w:spacing w:before="120"/>
      </w:pPr>
      <w:r w:rsidRPr="009422A1">
        <w:rPr>
          <w:vertAlign w:val="superscript"/>
        </w:rPr>
        <w:t>(a)</w:t>
      </w:r>
      <w:r>
        <w:tab/>
        <w:t>Departmental appropriation combines 'Ordinary annual services (Appropriation Bill No. 1)' and 'Revenue from independent sources (s74)'.</w:t>
      </w:r>
    </w:p>
    <w:p w:rsidR="009422A1" w:rsidRDefault="009422A1" w:rsidP="009422A1">
      <w:pPr>
        <w:pStyle w:val="FootnoteText"/>
      </w:pPr>
      <w:r w:rsidRPr="009422A1">
        <w:rPr>
          <w:vertAlign w:val="superscript"/>
        </w:rPr>
        <w:t>(b)</w:t>
      </w:r>
      <w:r>
        <w:tab/>
        <w:t>Expenses not requiring appropriation in the Budget year are made up of depreciation expense, amortisation expense, makegood expense and audit fees.</w:t>
      </w:r>
    </w:p>
    <w:p w:rsidR="0093505B" w:rsidRDefault="0093505B">
      <w:pPr>
        <w:spacing w:after="0"/>
        <w:rPr>
          <w:rFonts w:ascii="Arial" w:hAnsi="Arial"/>
          <w:b/>
          <w:sz w:val="22"/>
        </w:rPr>
      </w:pPr>
      <w:r>
        <w:br w:type="page"/>
      </w:r>
    </w:p>
    <w:p w:rsidR="002E7808" w:rsidRPr="007934E2" w:rsidRDefault="002E7808" w:rsidP="0093505B">
      <w:pPr>
        <w:pStyle w:val="Heading4"/>
        <w:spacing w:before="0"/>
      </w:pPr>
      <w:r w:rsidRPr="007934E2">
        <w:t xml:space="preserve">Planned Performance for </w:t>
      </w:r>
      <w:r w:rsidR="002377FC" w:rsidRPr="007934E2">
        <w:t>PSR</w:t>
      </w:r>
    </w:p>
    <w:p w:rsidR="00986801" w:rsidRPr="00CD6C5C" w:rsidRDefault="002E7B43" w:rsidP="007934E2">
      <w:pPr>
        <w:rPr>
          <w:lang w:eastAsia="en-US"/>
        </w:rPr>
      </w:pPr>
      <w:r w:rsidRPr="00CD6C5C">
        <w:rPr>
          <w:lang w:eastAsia="en-US"/>
        </w:rPr>
        <w:t>Table 2.</w:t>
      </w:r>
      <w:r w:rsidR="008E731A" w:rsidRPr="00CD6C5C">
        <w:rPr>
          <w:lang w:eastAsia="en-US"/>
        </w:rPr>
        <w:t>1</w:t>
      </w:r>
      <w:r w:rsidRPr="00CD6C5C">
        <w:rPr>
          <w:lang w:eastAsia="en-US"/>
        </w:rPr>
        <w:t>.</w:t>
      </w:r>
      <w:r w:rsidR="008E731A" w:rsidRPr="00CD6C5C">
        <w:rPr>
          <w:lang w:eastAsia="en-US"/>
        </w:rPr>
        <w:t>2</w:t>
      </w:r>
      <w:r w:rsidRPr="00CD6C5C">
        <w:rPr>
          <w:lang w:eastAsia="en-US"/>
        </w:rPr>
        <w:t xml:space="preserve"> details the performance criteria for </w:t>
      </w:r>
      <w:r w:rsidR="00E24A6C" w:rsidRPr="00CD6C5C">
        <w:rPr>
          <w:lang w:eastAsia="en-US"/>
        </w:rPr>
        <w:t>the</w:t>
      </w:r>
      <w:r w:rsidR="00DE1E14">
        <w:rPr>
          <w:lang w:eastAsia="en-US"/>
        </w:rPr>
        <w:t xml:space="preserve"> program associated</w:t>
      </w:r>
      <w:r w:rsidR="00031EBE">
        <w:rPr>
          <w:lang w:eastAsia="en-US"/>
        </w:rPr>
        <w:t xml:space="preserve"> </w:t>
      </w:r>
      <w:r w:rsidRPr="00CD6C5C">
        <w:rPr>
          <w:lang w:eastAsia="en-US"/>
        </w:rPr>
        <w:t>with</w:t>
      </w:r>
      <w:r w:rsidR="00031EBE">
        <w:rPr>
          <w:lang w:eastAsia="en-US"/>
        </w:rPr>
        <w:t> </w:t>
      </w:r>
      <w:r w:rsidR="00E94E25" w:rsidRPr="00CD6C5C">
        <w:rPr>
          <w:lang w:eastAsia="en-US"/>
        </w:rPr>
        <w:t>Outcome 1</w:t>
      </w:r>
      <w:r w:rsidRPr="00CD6C5C">
        <w:rPr>
          <w:lang w:eastAsia="en-US"/>
        </w:rPr>
        <w:t xml:space="preserve">. It also summarises how </w:t>
      </w:r>
      <w:r w:rsidR="00E24A6C" w:rsidRPr="00CD6C5C">
        <w:rPr>
          <w:lang w:eastAsia="en-US"/>
        </w:rPr>
        <w:t>the</w:t>
      </w:r>
      <w:r w:rsidRPr="00CD6C5C">
        <w:rPr>
          <w:lang w:eastAsia="en-US"/>
        </w:rPr>
        <w:t xml:space="preserve"> pr</w:t>
      </w:r>
      <w:r w:rsidR="00936A13">
        <w:rPr>
          <w:lang w:eastAsia="en-US"/>
        </w:rPr>
        <w:t>ogram is delivered and where 201</w:t>
      </w:r>
      <w:r w:rsidR="00934304">
        <w:rPr>
          <w:lang w:eastAsia="en-US"/>
        </w:rPr>
        <w:t>9</w:t>
      </w:r>
      <w:r w:rsidR="00776D0D">
        <w:rPr>
          <w:lang w:eastAsia="en-US"/>
        </w:rPr>
        <w:noBreakHyphen/>
      </w:r>
      <w:r w:rsidR="00934304">
        <w:rPr>
          <w:lang w:eastAsia="en-US"/>
        </w:rPr>
        <w:t>20</w:t>
      </w:r>
      <w:r w:rsidR="00776D0D">
        <w:rPr>
          <w:lang w:eastAsia="en-US"/>
        </w:rPr>
        <w:t> </w:t>
      </w:r>
      <w:r w:rsidRPr="00CD6C5C">
        <w:rPr>
          <w:lang w:eastAsia="en-US"/>
        </w:rPr>
        <w:t xml:space="preserve">Budget measures have materially changed </w:t>
      </w:r>
      <w:r w:rsidR="00E24A6C" w:rsidRPr="00CD6C5C">
        <w:rPr>
          <w:lang w:eastAsia="en-US"/>
        </w:rPr>
        <w:t>the</w:t>
      </w:r>
      <w:r w:rsidR="009F297D">
        <w:rPr>
          <w:lang w:eastAsia="en-US"/>
        </w:rPr>
        <w:t xml:space="preserve"> program.</w:t>
      </w:r>
    </w:p>
    <w:p w:rsidR="002E7808" w:rsidRPr="007934E2" w:rsidRDefault="002E7808" w:rsidP="007934E2">
      <w:pPr>
        <w:pStyle w:val="Tablenumberandreference"/>
      </w:pPr>
      <w:r w:rsidRPr="007934E2">
        <w:t xml:space="preserve">Table 2.1.2: Performance Criteria for </w:t>
      </w:r>
      <w:r w:rsidR="002377FC" w:rsidRPr="007934E2">
        <w:t>PSR</w:t>
      </w:r>
    </w:p>
    <w:tbl>
      <w:tblPr>
        <w:tblStyle w:val="TableGrid"/>
        <w:tblW w:w="5027" w:type="pct"/>
        <w:tblLayout w:type="fixed"/>
        <w:tblCellMar>
          <w:top w:w="28" w:type="dxa"/>
          <w:left w:w="85" w:type="dxa"/>
          <w:bottom w:w="28" w:type="dxa"/>
          <w:right w:w="85" w:type="dxa"/>
        </w:tblCellMar>
        <w:tblLook w:val="04A0" w:firstRow="1" w:lastRow="0" w:firstColumn="1" w:lastColumn="0" w:noHBand="0" w:noVBand="1"/>
        <w:tblCaption w:val="Table 2.1.2: Performance Criteria for Program 1.1"/>
        <w:tblDescription w:val="Table 2.1.2 details the performance criteria for each program associated with this outcome. It also summarises how each program is delivered and where 2016-17 Budget measures have created new programs or materially changed existing programs.&#10;"/>
      </w:tblPr>
      <w:tblGrid>
        <w:gridCol w:w="1556"/>
        <w:gridCol w:w="1518"/>
        <w:gridCol w:w="1519"/>
        <w:gridCol w:w="1519"/>
        <w:gridCol w:w="1469"/>
      </w:tblGrid>
      <w:tr w:rsidR="00CD6C5C" w:rsidRPr="00CD6C5C" w:rsidTr="00B33CF0">
        <w:tc>
          <w:tcPr>
            <w:tcW w:w="5000" w:type="pct"/>
            <w:gridSpan w:val="5"/>
            <w:shd w:val="clear" w:color="auto" w:fill="D9D9D9" w:themeFill="background1" w:themeFillShade="D9"/>
            <w:tcMar>
              <w:left w:w="85" w:type="dxa"/>
            </w:tcMar>
            <w:vAlign w:val="center"/>
          </w:tcPr>
          <w:p w:rsidR="007C5C30" w:rsidRPr="007934E2" w:rsidRDefault="007C5C30" w:rsidP="007934E2">
            <w:pPr>
              <w:pStyle w:val="Tableheadingrow9pt"/>
            </w:pPr>
            <w:r w:rsidRPr="007934E2">
              <w:t>Outcome 1</w:t>
            </w:r>
          </w:p>
        </w:tc>
      </w:tr>
      <w:tr w:rsidR="00CD6C5C" w:rsidRPr="00CD6C5C" w:rsidTr="00B33CF0">
        <w:tc>
          <w:tcPr>
            <w:tcW w:w="5000" w:type="pct"/>
            <w:gridSpan w:val="5"/>
            <w:shd w:val="clear" w:color="auto" w:fill="auto"/>
            <w:tcMar>
              <w:left w:w="85" w:type="dxa"/>
            </w:tcMar>
          </w:tcPr>
          <w:p w:rsidR="005D4CEB" w:rsidRPr="005D4CEB" w:rsidRDefault="00E06E44" w:rsidP="00943E91">
            <w:pPr>
              <w:pStyle w:val="Tabletextnormal9pt"/>
              <w:rPr>
                <w:rFonts w:eastAsiaTheme="minorEastAsia"/>
              </w:rPr>
            </w:pPr>
            <w:r w:rsidRPr="007934E2">
              <w:rPr>
                <w:rFonts w:eastAsiaTheme="minorEastAsia"/>
              </w:rPr>
              <w:t>A reduction of the risks to patients and costs to the Australian Government of inappropriate practice, including through investigating health services claimed under the Medicare and Pharmaceutical benefits schemes</w:t>
            </w:r>
            <w:r w:rsidR="00C50D84" w:rsidRPr="007934E2">
              <w:rPr>
                <w:rFonts w:eastAsiaTheme="minorEastAsia"/>
              </w:rPr>
              <w:t>.</w:t>
            </w:r>
          </w:p>
        </w:tc>
      </w:tr>
      <w:tr w:rsidR="00CD6C5C" w:rsidRPr="00CD6C5C" w:rsidTr="00B33CF0">
        <w:tc>
          <w:tcPr>
            <w:tcW w:w="5000" w:type="pct"/>
            <w:gridSpan w:val="5"/>
            <w:shd w:val="clear" w:color="auto" w:fill="D9D9D9" w:themeFill="background1" w:themeFillShade="D9"/>
            <w:tcMar>
              <w:left w:w="85" w:type="dxa"/>
            </w:tcMar>
            <w:vAlign w:val="center"/>
          </w:tcPr>
          <w:p w:rsidR="002E7808" w:rsidRPr="007934E2" w:rsidRDefault="002D0C83" w:rsidP="007934E2">
            <w:pPr>
              <w:pStyle w:val="Tableheadingrow9pt"/>
            </w:pPr>
            <w:r>
              <w:t xml:space="preserve">Program Objective - </w:t>
            </w:r>
            <w:r w:rsidR="002E7808" w:rsidRPr="007934E2">
              <w:t xml:space="preserve">Program </w:t>
            </w:r>
            <w:r w:rsidR="002377FC" w:rsidRPr="007934E2">
              <w:t>1</w:t>
            </w:r>
            <w:r w:rsidR="002E7808" w:rsidRPr="007934E2">
              <w:t>.</w:t>
            </w:r>
            <w:r w:rsidR="002377FC" w:rsidRPr="007934E2">
              <w:t>1</w:t>
            </w:r>
            <w:r w:rsidR="002E7808" w:rsidRPr="007934E2">
              <w:t>:</w:t>
            </w:r>
            <w:r w:rsidR="002377FC" w:rsidRPr="007934E2">
              <w:t xml:space="preserve"> Safeguarding the Integrity of the Medicare Program and Pharmaceutical Benefits Scheme</w:t>
            </w:r>
          </w:p>
        </w:tc>
      </w:tr>
      <w:tr w:rsidR="00CD6C5C" w:rsidRPr="00CD6C5C" w:rsidTr="00B33CF0">
        <w:tc>
          <w:tcPr>
            <w:tcW w:w="5000" w:type="pct"/>
            <w:gridSpan w:val="5"/>
            <w:shd w:val="clear" w:color="auto" w:fill="auto"/>
            <w:tcMar>
              <w:left w:w="85" w:type="dxa"/>
            </w:tcMar>
          </w:tcPr>
          <w:p w:rsidR="002E7808" w:rsidRPr="007934E2" w:rsidRDefault="002377FC" w:rsidP="00B33CF0">
            <w:pPr>
              <w:pStyle w:val="Tabletextnormal9pt"/>
              <w:rPr>
                <w:rFonts w:eastAsiaTheme="minorEastAsia"/>
              </w:rPr>
            </w:pPr>
            <w:r w:rsidRPr="007934E2">
              <w:rPr>
                <w:rFonts w:eastAsiaTheme="minorEastAsia"/>
              </w:rPr>
              <w:t xml:space="preserve">The Australian Government, through PSR, aims to safeguard the public against the risks and costs of inappropriate practice by health practitioners. PSR works with Governments, medical and health care regulatory bodies, and professional organisations to protect the integrity of the Medicare Benefits </w:t>
            </w:r>
            <w:r w:rsidR="00C3559E">
              <w:rPr>
                <w:rFonts w:eastAsiaTheme="minorEastAsia"/>
              </w:rPr>
              <w:t>Scheme</w:t>
            </w:r>
            <w:r w:rsidR="002D0C83" w:rsidRPr="007934E2">
              <w:rPr>
                <w:rFonts w:eastAsiaTheme="minorEastAsia"/>
              </w:rPr>
              <w:t xml:space="preserve"> </w:t>
            </w:r>
            <w:r w:rsidRPr="007934E2">
              <w:rPr>
                <w:rFonts w:eastAsiaTheme="minorEastAsia"/>
              </w:rPr>
              <w:t xml:space="preserve">and the Pharmaceutical Benefits </w:t>
            </w:r>
            <w:r w:rsidR="002D0C83">
              <w:rPr>
                <w:rFonts w:eastAsiaTheme="minorEastAsia"/>
              </w:rPr>
              <w:t>Scheme</w:t>
            </w:r>
            <w:r w:rsidRPr="007934E2">
              <w:rPr>
                <w:rFonts w:eastAsiaTheme="minorEastAsia"/>
              </w:rPr>
              <w:t>.</w:t>
            </w:r>
          </w:p>
        </w:tc>
      </w:tr>
      <w:tr w:rsidR="00CD6C5C" w:rsidRPr="00CD6C5C" w:rsidTr="00B33CF0">
        <w:tc>
          <w:tcPr>
            <w:tcW w:w="5000" w:type="pct"/>
            <w:gridSpan w:val="5"/>
            <w:shd w:val="clear" w:color="auto" w:fill="D9D9D9" w:themeFill="background1" w:themeFillShade="D9"/>
            <w:tcMar>
              <w:left w:w="85" w:type="dxa"/>
            </w:tcMar>
            <w:vAlign w:val="center"/>
          </w:tcPr>
          <w:p w:rsidR="002E7808" w:rsidRPr="007934E2" w:rsidRDefault="002E7808" w:rsidP="00F22D7C">
            <w:pPr>
              <w:pStyle w:val="Tableheadingrow9pt"/>
              <w:keepNext/>
            </w:pPr>
            <w:r w:rsidRPr="007934E2">
              <w:t>Delivery</w:t>
            </w:r>
          </w:p>
        </w:tc>
      </w:tr>
      <w:tr w:rsidR="00CD6C5C" w:rsidRPr="00CD6C5C" w:rsidTr="00B33CF0">
        <w:tc>
          <w:tcPr>
            <w:tcW w:w="5000" w:type="pct"/>
            <w:gridSpan w:val="5"/>
            <w:shd w:val="clear" w:color="auto" w:fill="auto"/>
            <w:tcMar>
              <w:left w:w="85" w:type="dxa"/>
            </w:tcMar>
          </w:tcPr>
          <w:p w:rsidR="002E7808" w:rsidRPr="00CD6C5C" w:rsidRDefault="001F7532" w:rsidP="00F22D7C">
            <w:pPr>
              <w:pStyle w:val="Tableheadingrow9pt"/>
              <w:keepNext/>
              <w:ind w:left="284" w:hanging="284"/>
              <w:rPr>
                <w:color w:val="000000" w:themeColor="text1"/>
              </w:rPr>
            </w:pPr>
            <w:r w:rsidRPr="00CD6C5C">
              <w:rPr>
                <w:color w:val="000000" w:themeColor="text1"/>
              </w:rPr>
              <w:t>Protect</w:t>
            </w:r>
            <w:r w:rsidR="00592F80" w:rsidRPr="00CD6C5C">
              <w:rPr>
                <w:color w:val="000000" w:themeColor="text1"/>
              </w:rPr>
              <w:t>ing</w:t>
            </w:r>
            <w:r w:rsidR="00396785" w:rsidRPr="00CD6C5C">
              <w:rPr>
                <w:color w:val="000000" w:themeColor="text1"/>
              </w:rPr>
              <w:t xml:space="preserve"> against inappropriate health care practice</w:t>
            </w:r>
          </w:p>
          <w:p w:rsidR="0093505B" w:rsidRPr="00CD6C5C" w:rsidRDefault="0093505B" w:rsidP="0093505B">
            <w:pPr>
              <w:pStyle w:val="Tabletextnormal9pt"/>
              <w:numPr>
                <w:ilvl w:val="0"/>
                <w:numId w:val="24"/>
              </w:numPr>
              <w:ind w:left="284" w:hanging="284"/>
              <w:rPr>
                <w:color w:val="000000" w:themeColor="text1"/>
              </w:rPr>
            </w:pPr>
            <w:r>
              <w:rPr>
                <w:color w:val="000000" w:themeColor="text1"/>
              </w:rPr>
              <w:t>E</w:t>
            </w:r>
            <w:r w:rsidRPr="00CD6C5C">
              <w:rPr>
                <w:color w:val="000000" w:themeColor="text1"/>
              </w:rPr>
              <w:t>ngag</w:t>
            </w:r>
            <w:r>
              <w:rPr>
                <w:color w:val="000000" w:themeColor="text1"/>
              </w:rPr>
              <w:t>e</w:t>
            </w:r>
            <w:r w:rsidRPr="00CD6C5C">
              <w:rPr>
                <w:color w:val="000000" w:themeColor="text1"/>
              </w:rPr>
              <w:t xml:space="preserve"> expert consultants to advise </w:t>
            </w:r>
            <w:r>
              <w:rPr>
                <w:color w:val="000000" w:themeColor="text1"/>
              </w:rPr>
              <w:t>the Director</w:t>
            </w:r>
            <w:r w:rsidR="002D0C83">
              <w:rPr>
                <w:color w:val="000000" w:themeColor="text1"/>
              </w:rPr>
              <w:t xml:space="preserve"> of PSR</w:t>
            </w:r>
            <w:r>
              <w:rPr>
                <w:color w:val="000000" w:themeColor="text1"/>
              </w:rPr>
              <w:t xml:space="preserve"> regarding </w:t>
            </w:r>
            <w:r w:rsidRPr="00CD6C5C">
              <w:rPr>
                <w:color w:val="000000" w:themeColor="text1"/>
              </w:rPr>
              <w:t xml:space="preserve">the conduct of </w:t>
            </w:r>
            <w:r w:rsidRPr="00F84F60">
              <w:rPr>
                <w:color w:val="000000" w:themeColor="text1"/>
              </w:rPr>
              <w:t>persons under review</w:t>
            </w:r>
            <w:r>
              <w:rPr>
                <w:color w:val="000000" w:themeColor="text1"/>
              </w:rPr>
              <w:t>.</w:t>
            </w:r>
          </w:p>
          <w:p w:rsidR="0093505B" w:rsidRPr="00CD6C5C" w:rsidRDefault="0093505B" w:rsidP="0093505B">
            <w:pPr>
              <w:pStyle w:val="Tabletextnormal9pt"/>
              <w:numPr>
                <w:ilvl w:val="0"/>
                <w:numId w:val="24"/>
              </w:numPr>
              <w:ind w:left="284" w:hanging="284"/>
              <w:rPr>
                <w:color w:val="000000" w:themeColor="text1"/>
              </w:rPr>
            </w:pPr>
            <w:r w:rsidRPr="00CD6C5C">
              <w:rPr>
                <w:color w:val="000000" w:themeColor="text1"/>
              </w:rPr>
              <w:t xml:space="preserve">The Director enters into agreements, where appropriate, with </w:t>
            </w:r>
            <w:r w:rsidRPr="00A7328D">
              <w:rPr>
                <w:color w:val="000000" w:themeColor="text1"/>
              </w:rPr>
              <w:t>persons</w:t>
            </w:r>
            <w:r>
              <w:rPr>
                <w:color w:val="000000" w:themeColor="text1"/>
              </w:rPr>
              <w:t xml:space="preserve"> </w:t>
            </w:r>
            <w:r w:rsidRPr="00CD6C5C">
              <w:rPr>
                <w:color w:val="000000" w:themeColor="text1"/>
              </w:rPr>
              <w:t>under review who have acknowledged enga</w:t>
            </w:r>
            <w:r>
              <w:rPr>
                <w:color w:val="000000" w:themeColor="text1"/>
              </w:rPr>
              <w:t>ging in inappropriate practice.</w:t>
            </w:r>
          </w:p>
          <w:p w:rsidR="0093505B" w:rsidRPr="00CD6C5C" w:rsidRDefault="0093505B" w:rsidP="0093505B">
            <w:pPr>
              <w:pStyle w:val="Tabletextnormal9pt"/>
              <w:numPr>
                <w:ilvl w:val="0"/>
                <w:numId w:val="24"/>
              </w:numPr>
              <w:ind w:left="284" w:hanging="284"/>
              <w:rPr>
                <w:color w:val="000000" w:themeColor="text1"/>
              </w:rPr>
            </w:pPr>
            <w:r w:rsidRPr="00CD6C5C">
              <w:rPr>
                <w:color w:val="000000" w:themeColor="text1"/>
              </w:rPr>
              <w:t xml:space="preserve">If an agreement is not made, </w:t>
            </w:r>
            <w:r>
              <w:rPr>
                <w:color w:val="000000" w:themeColor="text1"/>
              </w:rPr>
              <w:t xml:space="preserve">establish </w:t>
            </w:r>
            <w:r w:rsidRPr="00CD6C5C">
              <w:rPr>
                <w:color w:val="000000" w:themeColor="text1"/>
              </w:rPr>
              <w:t>PSR Committees to conduct hearings to investigate possible inappropriate practice.</w:t>
            </w:r>
          </w:p>
          <w:p w:rsidR="0093505B" w:rsidRDefault="0093505B" w:rsidP="0093505B">
            <w:pPr>
              <w:pStyle w:val="Tabletextnormal9pt"/>
              <w:numPr>
                <w:ilvl w:val="0"/>
                <w:numId w:val="24"/>
              </w:numPr>
              <w:ind w:left="284" w:hanging="284"/>
              <w:rPr>
                <w:color w:val="000000" w:themeColor="text1"/>
              </w:rPr>
            </w:pPr>
            <w:r w:rsidRPr="00CD6C5C">
              <w:rPr>
                <w:color w:val="000000" w:themeColor="text1"/>
              </w:rPr>
              <w:t xml:space="preserve">PSR’s Determining Authority </w:t>
            </w:r>
            <w:r>
              <w:rPr>
                <w:color w:val="000000" w:themeColor="text1"/>
              </w:rPr>
              <w:t>determines</w:t>
            </w:r>
            <w:r w:rsidRPr="00CD6C5C">
              <w:rPr>
                <w:color w:val="000000" w:themeColor="text1"/>
              </w:rPr>
              <w:t xml:space="preserve"> appropriate sanction decisions</w:t>
            </w:r>
            <w:r>
              <w:rPr>
                <w:color w:val="000000" w:themeColor="text1"/>
              </w:rPr>
              <w:t xml:space="preserve"> and</w:t>
            </w:r>
            <w:r w:rsidRPr="00CD6C5C">
              <w:rPr>
                <w:color w:val="000000" w:themeColor="text1"/>
              </w:rPr>
              <w:t xml:space="preserve"> ratif</w:t>
            </w:r>
            <w:r>
              <w:rPr>
                <w:color w:val="000000" w:themeColor="text1"/>
              </w:rPr>
              <w:t>ies</w:t>
            </w:r>
            <w:r w:rsidRPr="00CD6C5C">
              <w:rPr>
                <w:color w:val="000000" w:themeColor="text1"/>
              </w:rPr>
              <w:t xml:space="preserve"> agreements that are fair and </w:t>
            </w:r>
            <w:r>
              <w:rPr>
                <w:color w:val="000000" w:themeColor="text1"/>
              </w:rPr>
              <w:t>reasonable</w:t>
            </w:r>
            <w:r w:rsidRPr="00CD6C5C">
              <w:rPr>
                <w:color w:val="000000" w:themeColor="text1"/>
              </w:rPr>
              <w:t>.</w:t>
            </w:r>
          </w:p>
          <w:p w:rsidR="00296625" w:rsidRPr="0093505B" w:rsidRDefault="0093505B" w:rsidP="0093505B">
            <w:pPr>
              <w:pStyle w:val="Tabletextnormal9pt"/>
              <w:numPr>
                <w:ilvl w:val="0"/>
                <w:numId w:val="24"/>
              </w:numPr>
              <w:ind w:left="284" w:hanging="284"/>
              <w:rPr>
                <w:color w:val="000000" w:themeColor="text1"/>
              </w:rPr>
            </w:pPr>
            <w:r w:rsidRPr="0093505B">
              <w:rPr>
                <w:color w:val="000000" w:themeColor="text1"/>
              </w:rPr>
              <w:t>Consult representative bodies to ensure that PSR can perform its peer review function, and raise awareness of inappropriate practice issues.</w:t>
            </w:r>
          </w:p>
        </w:tc>
      </w:tr>
      <w:tr w:rsidR="00CD6C5C" w:rsidRPr="00CD6C5C" w:rsidTr="00B33CF0">
        <w:tc>
          <w:tcPr>
            <w:tcW w:w="5000" w:type="pct"/>
            <w:gridSpan w:val="5"/>
            <w:shd w:val="clear" w:color="auto" w:fill="D9D9D9" w:themeFill="background1" w:themeFillShade="D9"/>
            <w:tcMar>
              <w:left w:w="85" w:type="dxa"/>
            </w:tcMar>
            <w:vAlign w:val="center"/>
          </w:tcPr>
          <w:p w:rsidR="0025470E" w:rsidRPr="0025470E" w:rsidRDefault="00B33CF0" w:rsidP="007934E2">
            <w:pPr>
              <w:pStyle w:val="Tableheadingrow9pt"/>
              <w:keepNext/>
              <w:keepLines/>
            </w:pPr>
            <w:r>
              <w:t>Performance C</w:t>
            </w:r>
            <w:r w:rsidR="00396785" w:rsidRPr="007934E2">
              <w:t>riteria</w:t>
            </w:r>
          </w:p>
        </w:tc>
      </w:tr>
      <w:tr w:rsidR="00CD6C5C" w:rsidRPr="00CD6C5C" w:rsidDel="00474C0D" w:rsidTr="00B33CF0">
        <w:tc>
          <w:tcPr>
            <w:tcW w:w="5000" w:type="pct"/>
            <w:gridSpan w:val="5"/>
            <w:shd w:val="clear" w:color="auto" w:fill="D9D9D9" w:themeFill="background1" w:themeFillShade="D9"/>
            <w:tcMar>
              <w:left w:w="85" w:type="dxa"/>
            </w:tcMar>
          </w:tcPr>
          <w:p w:rsidR="00966906" w:rsidRPr="007B64A8" w:rsidDel="00474C0D" w:rsidRDefault="00396785" w:rsidP="00806486">
            <w:pPr>
              <w:pStyle w:val="Tableheadingrowmeasures85pt"/>
              <w:rPr>
                <w:color w:val="FF0000"/>
              </w:rPr>
            </w:pPr>
            <w:r w:rsidRPr="00966906">
              <w:t xml:space="preserve">Total number of matters </w:t>
            </w:r>
            <w:r w:rsidR="00801C00" w:rsidRPr="00966906">
              <w:t xml:space="preserve">for review </w:t>
            </w:r>
            <w:r w:rsidRPr="00966906">
              <w:t>finalised</w:t>
            </w:r>
            <w:r w:rsidR="003C191E" w:rsidRPr="00966906">
              <w:t>.</w:t>
            </w:r>
            <w:r w:rsidR="00806486" w:rsidRPr="004D077B">
              <w:rPr>
                <w:rStyle w:val="FootnoteReference"/>
              </w:rPr>
              <w:footnoteReference w:id="3"/>
            </w:r>
          </w:p>
        </w:tc>
      </w:tr>
      <w:tr w:rsidR="00033B6A" w:rsidRPr="00CD6C5C" w:rsidDel="00474C0D" w:rsidTr="00B33CF0">
        <w:tblPrEx>
          <w:tblCellMar>
            <w:top w:w="0" w:type="dxa"/>
            <w:left w:w="108" w:type="dxa"/>
            <w:bottom w:w="0" w:type="dxa"/>
            <w:right w:w="108" w:type="dxa"/>
          </w:tblCellMar>
        </w:tblPrEx>
        <w:tc>
          <w:tcPr>
            <w:tcW w:w="1026" w:type="pct"/>
            <w:tcBorders>
              <w:bottom w:val="single" w:sz="4" w:space="0" w:color="auto"/>
            </w:tcBorders>
            <w:tcMar>
              <w:left w:w="85" w:type="dxa"/>
            </w:tcMar>
            <w:vAlign w:val="center"/>
          </w:tcPr>
          <w:p w:rsidR="00033B6A" w:rsidRPr="00966906" w:rsidDel="00474C0D" w:rsidRDefault="00033B6A" w:rsidP="002D0C83">
            <w:pPr>
              <w:pStyle w:val="Tableheadingrowmeasures85pt"/>
            </w:pPr>
            <w:r w:rsidRPr="00966906">
              <w:t xml:space="preserve">2018-19 </w:t>
            </w:r>
            <w:r w:rsidR="002D0C83">
              <w:t>Target</w:t>
            </w:r>
          </w:p>
        </w:tc>
        <w:tc>
          <w:tcPr>
            <w:tcW w:w="1001" w:type="pct"/>
            <w:tcBorders>
              <w:bottom w:val="single" w:sz="4" w:space="0" w:color="auto"/>
            </w:tcBorders>
            <w:shd w:val="clear" w:color="auto" w:fill="auto"/>
            <w:tcMar>
              <w:left w:w="85" w:type="dxa"/>
            </w:tcMar>
            <w:vAlign w:val="center"/>
          </w:tcPr>
          <w:p w:rsidR="00033B6A" w:rsidRPr="00966906" w:rsidDel="00474C0D" w:rsidRDefault="00033B6A" w:rsidP="002D0C83">
            <w:pPr>
              <w:pStyle w:val="Tableheadingrowmeasures85pt"/>
            </w:pPr>
            <w:r w:rsidRPr="00966906">
              <w:t>2019-20</w:t>
            </w:r>
            <w:r w:rsidR="002D0C83">
              <w:t xml:space="preserve"> </w:t>
            </w:r>
            <w:r w:rsidRPr="00966906">
              <w:t xml:space="preserve">Target </w:t>
            </w:r>
          </w:p>
        </w:tc>
        <w:tc>
          <w:tcPr>
            <w:tcW w:w="1002" w:type="pct"/>
            <w:tcBorders>
              <w:bottom w:val="single" w:sz="4" w:space="0" w:color="auto"/>
            </w:tcBorders>
            <w:tcMar>
              <w:left w:w="85" w:type="dxa"/>
            </w:tcMar>
            <w:vAlign w:val="center"/>
          </w:tcPr>
          <w:p w:rsidR="00033B6A" w:rsidRPr="00410298" w:rsidDel="00474C0D" w:rsidRDefault="00033B6A" w:rsidP="002D0C83">
            <w:pPr>
              <w:pStyle w:val="Tableheadingrowmeasures85pt"/>
            </w:pPr>
            <w:r w:rsidRPr="00410298">
              <w:t>2020-21</w:t>
            </w:r>
            <w:r w:rsidR="002D0C83">
              <w:t xml:space="preserve"> </w:t>
            </w:r>
            <w:r w:rsidRPr="00410298">
              <w:t>Target</w:t>
            </w:r>
          </w:p>
        </w:tc>
        <w:tc>
          <w:tcPr>
            <w:tcW w:w="1002" w:type="pct"/>
            <w:tcBorders>
              <w:bottom w:val="single" w:sz="4" w:space="0" w:color="auto"/>
            </w:tcBorders>
            <w:tcMar>
              <w:left w:w="85" w:type="dxa"/>
            </w:tcMar>
            <w:vAlign w:val="center"/>
          </w:tcPr>
          <w:p w:rsidR="00033B6A" w:rsidRPr="00410298" w:rsidDel="00474C0D" w:rsidRDefault="00033B6A" w:rsidP="002D0C83">
            <w:pPr>
              <w:pStyle w:val="Tableheadingrowmeasures85pt"/>
            </w:pPr>
            <w:r w:rsidRPr="00410298">
              <w:t>2021-22</w:t>
            </w:r>
            <w:r w:rsidR="002D0C83">
              <w:t xml:space="preserve"> </w:t>
            </w:r>
            <w:r w:rsidRPr="00410298">
              <w:t>Target</w:t>
            </w:r>
          </w:p>
        </w:tc>
        <w:tc>
          <w:tcPr>
            <w:tcW w:w="969" w:type="pct"/>
            <w:tcBorders>
              <w:bottom w:val="single" w:sz="4" w:space="0" w:color="auto"/>
            </w:tcBorders>
            <w:tcMar>
              <w:left w:w="85" w:type="dxa"/>
            </w:tcMar>
            <w:vAlign w:val="center"/>
          </w:tcPr>
          <w:p w:rsidR="00033B6A" w:rsidRPr="00410298" w:rsidDel="00474C0D" w:rsidRDefault="00033B6A" w:rsidP="002D0C83">
            <w:pPr>
              <w:pStyle w:val="Tableheadingrowmeasures85pt"/>
            </w:pPr>
            <w:r>
              <w:t>2022-23</w:t>
            </w:r>
            <w:r w:rsidR="002D0C83">
              <w:t xml:space="preserve"> </w:t>
            </w:r>
            <w:r w:rsidRPr="00410298">
              <w:t>Target</w:t>
            </w:r>
          </w:p>
        </w:tc>
      </w:tr>
      <w:tr w:rsidR="002D0C83" w:rsidRPr="00CD6C5C" w:rsidDel="00474C0D" w:rsidTr="00B33CF0">
        <w:tblPrEx>
          <w:tblCellMar>
            <w:top w:w="0" w:type="dxa"/>
            <w:left w:w="108" w:type="dxa"/>
            <w:bottom w:w="0" w:type="dxa"/>
            <w:right w:w="108" w:type="dxa"/>
          </w:tblCellMar>
        </w:tblPrEx>
        <w:tc>
          <w:tcPr>
            <w:tcW w:w="1026" w:type="pct"/>
            <w:tcBorders>
              <w:bottom w:val="single" w:sz="4" w:space="0" w:color="auto"/>
            </w:tcBorders>
            <w:tcMar>
              <w:left w:w="85" w:type="dxa"/>
            </w:tcMar>
            <w:vAlign w:val="center"/>
          </w:tcPr>
          <w:p w:rsidR="002D0C83" w:rsidRPr="00966906" w:rsidDel="00474C0D" w:rsidRDefault="00001B32" w:rsidP="00033B6A">
            <w:pPr>
              <w:pStyle w:val="Tabletextmeasures85pt"/>
            </w:pPr>
            <w:r>
              <w:t>90</w:t>
            </w:r>
          </w:p>
        </w:tc>
        <w:tc>
          <w:tcPr>
            <w:tcW w:w="1001" w:type="pct"/>
            <w:vMerge w:val="restart"/>
            <w:shd w:val="clear" w:color="auto" w:fill="auto"/>
            <w:tcMar>
              <w:left w:w="85" w:type="dxa"/>
            </w:tcMar>
          </w:tcPr>
          <w:p w:rsidR="002D0C83" w:rsidRPr="00966906" w:rsidDel="00474C0D" w:rsidRDefault="002D0C83" w:rsidP="002D0C83">
            <w:pPr>
              <w:pStyle w:val="Tabletextmeasures85pt"/>
            </w:pPr>
            <w:r>
              <w:t>110</w:t>
            </w:r>
          </w:p>
        </w:tc>
        <w:tc>
          <w:tcPr>
            <w:tcW w:w="1002" w:type="pct"/>
            <w:vMerge w:val="restart"/>
            <w:tcMar>
              <w:left w:w="85" w:type="dxa"/>
            </w:tcMar>
          </w:tcPr>
          <w:p w:rsidR="002D0C83" w:rsidRPr="00410298" w:rsidDel="00474C0D" w:rsidRDefault="002D0C83" w:rsidP="002D0C83">
            <w:pPr>
              <w:pStyle w:val="Tabletextmeasures85pt"/>
            </w:pPr>
            <w:r>
              <w:t>120</w:t>
            </w:r>
          </w:p>
        </w:tc>
        <w:tc>
          <w:tcPr>
            <w:tcW w:w="1002" w:type="pct"/>
            <w:vMerge w:val="restart"/>
            <w:tcMar>
              <w:left w:w="85" w:type="dxa"/>
            </w:tcMar>
          </w:tcPr>
          <w:p w:rsidR="002D0C83" w:rsidRPr="00410298" w:rsidDel="00474C0D" w:rsidRDefault="002D0C83" w:rsidP="002D0C83">
            <w:pPr>
              <w:pStyle w:val="Tabletextmeasures85pt"/>
            </w:pPr>
            <w:r>
              <w:t>120</w:t>
            </w:r>
          </w:p>
        </w:tc>
        <w:tc>
          <w:tcPr>
            <w:tcW w:w="969" w:type="pct"/>
            <w:vMerge w:val="restart"/>
            <w:tcMar>
              <w:left w:w="85" w:type="dxa"/>
            </w:tcMar>
          </w:tcPr>
          <w:p w:rsidR="002D0C83" w:rsidRPr="00410298" w:rsidDel="00474C0D" w:rsidRDefault="002D0C83" w:rsidP="002D0C83">
            <w:pPr>
              <w:pStyle w:val="Tabletextmeasures85pt"/>
            </w:pPr>
            <w:r>
              <w:t>120</w:t>
            </w:r>
          </w:p>
        </w:tc>
      </w:tr>
      <w:tr w:rsidR="002D0C83" w:rsidRPr="00CD6C5C" w:rsidDel="00474C0D" w:rsidTr="00B33CF0">
        <w:tblPrEx>
          <w:tblCellMar>
            <w:top w:w="0" w:type="dxa"/>
            <w:left w:w="108" w:type="dxa"/>
            <w:bottom w:w="0" w:type="dxa"/>
            <w:right w:w="108" w:type="dxa"/>
          </w:tblCellMar>
        </w:tblPrEx>
        <w:tc>
          <w:tcPr>
            <w:tcW w:w="1026" w:type="pct"/>
            <w:tcBorders>
              <w:bottom w:val="single" w:sz="4" w:space="0" w:color="auto"/>
            </w:tcBorders>
            <w:tcMar>
              <w:left w:w="85" w:type="dxa"/>
            </w:tcMar>
            <w:vAlign w:val="center"/>
          </w:tcPr>
          <w:p w:rsidR="002D0C83" w:rsidRPr="002D0C83" w:rsidRDefault="002D0C83" w:rsidP="00033B6A">
            <w:pPr>
              <w:pStyle w:val="Tabletextmeasures85pt"/>
              <w:rPr>
                <w:b/>
              </w:rPr>
            </w:pPr>
            <w:r w:rsidRPr="002D0C83">
              <w:rPr>
                <w:b/>
              </w:rPr>
              <w:t>Estimated result</w:t>
            </w:r>
          </w:p>
        </w:tc>
        <w:tc>
          <w:tcPr>
            <w:tcW w:w="1001" w:type="pct"/>
            <w:vMerge/>
            <w:shd w:val="clear" w:color="auto" w:fill="auto"/>
            <w:tcMar>
              <w:left w:w="85" w:type="dxa"/>
            </w:tcMar>
            <w:vAlign w:val="center"/>
          </w:tcPr>
          <w:p w:rsidR="002D0C83" w:rsidRDefault="002D0C83" w:rsidP="00033B6A">
            <w:pPr>
              <w:pStyle w:val="Tabletextmeasures85pt"/>
            </w:pPr>
          </w:p>
        </w:tc>
        <w:tc>
          <w:tcPr>
            <w:tcW w:w="1002" w:type="pct"/>
            <w:vMerge/>
            <w:tcMar>
              <w:left w:w="85" w:type="dxa"/>
            </w:tcMar>
            <w:vAlign w:val="center"/>
          </w:tcPr>
          <w:p w:rsidR="002D0C83" w:rsidRDefault="002D0C83" w:rsidP="00033B6A">
            <w:pPr>
              <w:pStyle w:val="Tabletextmeasures85pt"/>
            </w:pPr>
          </w:p>
        </w:tc>
        <w:tc>
          <w:tcPr>
            <w:tcW w:w="1002" w:type="pct"/>
            <w:vMerge/>
            <w:tcMar>
              <w:left w:w="85" w:type="dxa"/>
            </w:tcMar>
          </w:tcPr>
          <w:p w:rsidR="002D0C83" w:rsidRDefault="002D0C83" w:rsidP="002D0C83">
            <w:pPr>
              <w:pStyle w:val="Tabletextmeasures85pt"/>
            </w:pPr>
          </w:p>
        </w:tc>
        <w:tc>
          <w:tcPr>
            <w:tcW w:w="969" w:type="pct"/>
            <w:vMerge/>
            <w:tcMar>
              <w:left w:w="85" w:type="dxa"/>
            </w:tcMar>
          </w:tcPr>
          <w:p w:rsidR="002D0C83" w:rsidRDefault="002D0C83" w:rsidP="002D0C83">
            <w:pPr>
              <w:pStyle w:val="Tabletextmeasures85pt"/>
            </w:pPr>
          </w:p>
        </w:tc>
      </w:tr>
      <w:tr w:rsidR="002D0C83" w:rsidRPr="00CD6C5C" w:rsidDel="00474C0D" w:rsidTr="00B33CF0">
        <w:tblPrEx>
          <w:tblCellMar>
            <w:top w:w="0" w:type="dxa"/>
            <w:left w:w="108" w:type="dxa"/>
            <w:bottom w:w="0" w:type="dxa"/>
            <w:right w:w="108" w:type="dxa"/>
          </w:tblCellMar>
        </w:tblPrEx>
        <w:tc>
          <w:tcPr>
            <w:tcW w:w="1026" w:type="pct"/>
            <w:tcBorders>
              <w:bottom w:val="single" w:sz="4" w:space="0" w:color="auto"/>
            </w:tcBorders>
            <w:tcMar>
              <w:left w:w="85" w:type="dxa"/>
            </w:tcMar>
            <w:vAlign w:val="center"/>
          </w:tcPr>
          <w:p w:rsidR="002D0C83" w:rsidRDefault="00001B32" w:rsidP="00033B6A">
            <w:pPr>
              <w:pStyle w:val="Tabletextmeasures85pt"/>
            </w:pPr>
            <w:r>
              <w:t>110</w:t>
            </w:r>
          </w:p>
        </w:tc>
        <w:tc>
          <w:tcPr>
            <w:tcW w:w="1001" w:type="pct"/>
            <w:vMerge/>
            <w:tcBorders>
              <w:bottom w:val="single" w:sz="4" w:space="0" w:color="auto"/>
            </w:tcBorders>
            <w:shd w:val="clear" w:color="auto" w:fill="auto"/>
            <w:tcMar>
              <w:left w:w="85" w:type="dxa"/>
            </w:tcMar>
            <w:vAlign w:val="center"/>
          </w:tcPr>
          <w:p w:rsidR="002D0C83" w:rsidRDefault="002D0C83" w:rsidP="00033B6A">
            <w:pPr>
              <w:pStyle w:val="Tabletextmeasures85pt"/>
            </w:pPr>
          </w:p>
        </w:tc>
        <w:tc>
          <w:tcPr>
            <w:tcW w:w="1002" w:type="pct"/>
            <w:vMerge/>
            <w:tcBorders>
              <w:bottom w:val="single" w:sz="4" w:space="0" w:color="auto"/>
            </w:tcBorders>
            <w:tcMar>
              <w:left w:w="85" w:type="dxa"/>
            </w:tcMar>
            <w:vAlign w:val="center"/>
          </w:tcPr>
          <w:p w:rsidR="002D0C83" w:rsidRDefault="002D0C83" w:rsidP="00033B6A">
            <w:pPr>
              <w:pStyle w:val="Tabletextmeasures85pt"/>
            </w:pPr>
          </w:p>
        </w:tc>
        <w:tc>
          <w:tcPr>
            <w:tcW w:w="1002" w:type="pct"/>
            <w:vMerge/>
            <w:tcBorders>
              <w:bottom w:val="single" w:sz="4" w:space="0" w:color="auto"/>
            </w:tcBorders>
            <w:tcMar>
              <w:left w:w="85" w:type="dxa"/>
            </w:tcMar>
          </w:tcPr>
          <w:p w:rsidR="002D0C83" w:rsidRDefault="002D0C83" w:rsidP="002D0C83">
            <w:pPr>
              <w:pStyle w:val="Tabletextmeasures85pt"/>
            </w:pPr>
          </w:p>
        </w:tc>
        <w:tc>
          <w:tcPr>
            <w:tcW w:w="969" w:type="pct"/>
            <w:vMerge/>
            <w:tcBorders>
              <w:bottom w:val="single" w:sz="4" w:space="0" w:color="auto"/>
            </w:tcBorders>
            <w:tcMar>
              <w:left w:w="85" w:type="dxa"/>
            </w:tcMar>
          </w:tcPr>
          <w:p w:rsidR="002D0C83" w:rsidRDefault="002D0C83" w:rsidP="002D0C83">
            <w:pPr>
              <w:pStyle w:val="Tabletextmeasures85pt"/>
            </w:pPr>
          </w:p>
        </w:tc>
      </w:tr>
      <w:tr w:rsidR="00CC7541" w:rsidRPr="00CD6C5C" w:rsidTr="00CC7541">
        <w:tblPrEx>
          <w:tblCellMar>
            <w:top w:w="0" w:type="dxa"/>
            <w:left w:w="108" w:type="dxa"/>
            <w:bottom w:w="0" w:type="dxa"/>
            <w:right w:w="108" w:type="dxa"/>
          </w:tblCellMar>
        </w:tblPrEx>
        <w:tc>
          <w:tcPr>
            <w:tcW w:w="5000" w:type="pct"/>
            <w:gridSpan w:val="5"/>
            <w:shd w:val="clear" w:color="auto" w:fill="FFFFFF" w:themeFill="background1"/>
            <w:tcMar>
              <w:left w:w="85" w:type="dxa"/>
              <w:right w:w="85" w:type="dxa"/>
            </w:tcMar>
            <w:vAlign w:val="center"/>
          </w:tcPr>
          <w:p w:rsidR="00CC7541" w:rsidRPr="00410298" w:rsidRDefault="00CC7541" w:rsidP="00CC7541">
            <w:pPr>
              <w:pStyle w:val="Tableheadingrow9pt"/>
            </w:pPr>
            <w:r w:rsidRPr="00410298">
              <w:t>Material changes to Program 1.1 resulting from the following measures:</w:t>
            </w:r>
          </w:p>
          <w:p w:rsidR="00CC7541" w:rsidRPr="00CC7541" w:rsidRDefault="00DB2950" w:rsidP="00DB2950">
            <w:pPr>
              <w:pStyle w:val="Tableheadingrow9pt"/>
              <w:numPr>
                <w:ilvl w:val="0"/>
                <w:numId w:val="33"/>
              </w:numPr>
              <w:ind w:left="357" w:hanging="357"/>
              <w:rPr>
                <w:b w:val="0"/>
                <w:sz w:val="17"/>
                <w:szCs w:val="17"/>
              </w:rPr>
            </w:pPr>
            <w:r w:rsidRPr="00DB2950">
              <w:rPr>
                <w:b w:val="0"/>
                <w:bCs/>
                <w:i/>
                <w:sz w:val="17"/>
                <w:szCs w:val="17"/>
              </w:rPr>
              <w:t>Guaranteeing Medicare – improved access to diagnostic imaging.</w:t>
            </w:r>
          </w:p>
        </w:tc>
      </w:tr>
      <w:tr w:rsidR="00934304" w:rsidRPr="00CD6C5C" w:rsidTr="00B33CF0">
        <w:tblPrEx>
          <w:tblCellMar>
            <w:top w:w="0" w:type="dxa"/>
            <w:left w:w="108" w:type="dxa"/>
            <w:bottom w:w="0" w:type="dxa"/>
            <w:right w:w="108" w:type="dxa"/>
          </w:tblCellMar>
        </w:tblPrEx>
        <w:tc>
          <w:tcPr>
            <w:tcW w:w="5000" w:type="pct"/>
            <w:gridSpan w:val="5"/>
            <w:shd w:val="clear" w:color="auto" w:fill="D9D9D9" w:themeFill="background1" w:themeFillShade="D9"/>
            <w:tcMar>
              <w:left w:w="85" w:type="dxa"/>
              <w:right w:w="85" w:type="dxa"/>
            </w:tcMar>
            <w:vAlign w:val="center"/>
          </w:tcPr>
          <w:p w:rsidR="00934304" w:rsidRPr="007934E2" w:rsidRDefault="00934304" w:rsidP="00934304">
            <w:pPr>
              <w:pStyle w:val="Tableheadingrow9pt"/>
            </w:pPr>
            <w:r w:rsidRPr="007934E2">
              <w:t>Purpose</w:t>
            </w:r>
          </w:p>
        </w:tc>
      </w:tr>
      <w:tr w:rsidR="00934304" w:rsidRPr="00CD6C5C" w:rsidTr="00B33CF0">
        <w:tblPrEx>
          <w:tblCellMar>
            <w:top w:w="0" w:type="dxa"/>
            <w:left w:w="108" w:type="dxa"/>
            <w:bottom w:w="0" w:type="dxa"/>
            <w:right w:w="108" w:type="dxa"/>
          </w:tblCellMar>
        </w:tblPrEx>
        <w:tc>
          <w:tcPr>
            <w:tcW w:w="5000" w:type="pct"/>
            <w:gridSpan w:val="5"/>
            <w:tcMar>
              <w:left w:w="85" w:type="dxa"/>
              <w:right w:w="85" w:type="dxa"/>
            </w:tcMar>
          </w:tcPr>
          <w:p w:rsidR="00934304" w:rsidRPr="00F22D7C" w:rsidRDefault="00934304" w:rsidP="00943E91">
            <w:pPr>
              <w:pStyle w:val="Tabletextnormal9pt"/>
              <w:rPr>
                <w:rFonts w:eastAsiaTheme="minorEastAsia"/>
                <w:sz w:val="17"/>
                <w:szCs w:val="17"/>
              </w:rPr>
            </w:pPr>
            <w:r w:rsidRPr="007934E2">
              <w:rPr>
                <w:rFonts w:eastAsiaTheme="minorEastAsia"/>
              </w:rPr>
              <w:t>To protect the integrity of the Commonwealth Medicare Benefits and Pharmaceutical Benefits programs and in doing so safeguard the Australian public from the cost and risk of inappropriate practice.</w:t>
            </w:r>
          </w:p>
        </w:tc>
      </w:tr>
    </w:tbl>
    <w:p w:rsidR="00F025EE" w:rsidRPr="00CD6C5C" w:rsidRDefault="00F025EE" w:rsidP="00C379BB">
      <w:pPr>
        <w:rPr>
          <w:i/>
          <w:color w:val="000000" w:themeColor="text1"/>
        </w:rPr>
        <w:sectPr w:rsidR="00F025EE" w:rsidRPr="00CD6C5C" w:rsidSect="000C1C81">
          <w:headerReference w:type="even" r:id="rId22"/>
          <w:headerReference w:type="default" r:id="rId23"/>
          <w:headerReference w:type="first" r:id="rId24"/>
          <w:pgSz w:w="11906" w:h="16838" w:code="9"/>
          <w:pgMar w:top="2665" w:right="2268" w:bottom="2126" w:left="2268" w:header="1899" w:footer="1899" w:gutter="0"/>
          <w:cols w:space="708"/>
          <w:docGrid w:linePitch="360"/>
        </w:sectPr>
      </w:pPr>
    </w:p>
    <w:p w:rsidR="00886BDB" w:rsidRPr="00410298" w:rsidRDefault="00886BDB" w:rsidP="00410298">
      <w:pPr>
        <w:pStyle w:val="Heading2"/>
      </w:pPr>
      <w:bookmarkStart w:id="9" w:name="_Toc190682315"/>
      <w:bookmarkStart w:id="10" w:name="_Toc190682532"/>
      <w:bookmarkStart w:id="11" w:name="_Toc4874683"/>
      <w:r w:rsidRPr="00410298">
        <w:t>Section 3: Budgeted Financial Statements</w:t>
      </w:r>
      <w:bookmarkEnd w:id="9"/>
      <w:bookmarkEnd w:id="10"/>
      <w:bookmarkEnd w:id="11"/>
    </w:p>
    <w:p w:rsidR="002E7B43" w:rsidRPr="00CD6C5C" w:rsidRDefault="002E7B43" w:rsidP="00410298">
      <w:r w:rsidRPr="00CD6C5C">
        <w:t>Section 3 presents budgeted financial statements which provide a comprehensive snapsho</w:t>
      </w:r>
      <w:r w:rsidR="006B5386">
        <w:t>t of</w:t>
      </w:r>
      <w:r w:rsidR="00A5405E">
        <w:t xml:space="preserve"> entity finances for the 2019-20</w:t>
      </w:r>
      <w:r w:rsidRPr="00CD6C5C">
        <w:t xml:space="preserve"> </w:t>
      </w:r>
      <w:r w:rsidR="00F30EDA" w:rsidRPr="00CD6C5C">
        <w:t>B</w:t>
      </w:r>
      <w:r w:rsidRPr="00CD6C5C">
        <w:t xml:space="preserve">udget year, including the impact of </w:t>
      </w:r>
      <w:r w:rsidR="00F30EDA" w:rsidRPr="00CD6C5C">
        <w:t>B</w:t>
      </w:r>
      <w:r w:rsidRPr="00CD6C5C">
        <w:t>udget measures and resourcing on financial statements.</w:t>
      </w:r>
    </w:p>
    <w:p w:rsidR="00886BDB" w:rsidRPr="00410298" w:rsidRDefault="00886BDB" w:rsidP="00F22D7C">
      <w:pPr>
        <w:pStyle w:val="Heading3"/>
        <w:spacing w:after="120"/>
      </w:pPr>
      <w:bookmarkStart w:id="12" w:name="_Toc4874684"/>
      <w:r w:rsidRPr="00410298">
        <w:t>3.1</w:t>
      </w:r>
      <w:r w:rsidRPr="00410298">
        <w:tab/>
      </w:r>
      <w:r w:rsidR="002E7B43" w:rsidRPr="00410298">
        <w:t>Budgeted Financial Statements</w:t>
      </w:r>
      <w:bookmarkEnd w:id="12"/>
    </w:p>
    <w:p w:rsidR="00886BDB" w:rsidRDefault="00410298" w:rsidP="00F22D7C">
      <w:pPr>
        <w:pStyle w:val="Heading4"/>
        <w:spacing w:before="120"/>
      </w:pPr>
      <w:r>
        <w:t>3.1.1</w:t>
      </w:r>
      <w:r w:rsidR="005848AC">
        <w:tab/>
      </w:r>
      <w:r w:rsidR="002E7B43" w:rsidRPr="00410298">
        <w:t>Differences Between Entity Resourcing and Financial Statements</w:t>
      </w:r>
    </w:p>
    <w:p w:rsidR="007763BB" w:rsidRPr="007763BB" w:rsidRDefault="007763BB" w:rsidP="007763BB">
      <w:r>
        <w:t>This section is not applicable to PSR.</w:t>
      </w:r>
    </w:p>
    <w:p w:rsidR="00B91B6F" w:rsidRPr="00A82260" w:rsidRDefault="005848AC" w:rsidP="00F22D7C">
      <w:pPr>
        <w:pStyle w:val="Heading4"/>
        <w:spacing w:before="120"/>
      </w:pPr>
      <w:r>
        <w:t>3.1.2</w:t>
      </w:r>
      <w:r>
        <w:tab/>
      </w:r>
      <w:r w:rsidR="00B91B6F" w:rsidRPr="00A82260">
        <w:t>Explanatory Notes and Analysis of Budgeted Financial Statements</w:t>
      </w:r>
    </w:p>
    <w:p w:rsidR="00B91B6F" w:rsidRPr="00A82260" w:rsidRDefault="00B91B6F" w:rsidP="00410298">
      <w:pPr>
        <w:pStyle w:val="Heading5"/>
      </w:pPr>
      <w:r w:rsidRPr="00A82260">
        <w:t>Departmental Resources</w:t>
      </w:r>
    </w:p>
    <w:p w:rsidR="00B91B6F" w:rsidRPr="00A82260" w:rsidRDefault="00B91B6F" w:rsidP="00410298">
      <w:pPr>
        <w:pStyle w:val="Heading6"/>
      </w:pPr>
      <w:r w:rsidRPr="00A82260">
        <w:t>Comprehensive Income Statement</w:t>
      </w:r>
    </w:p>
    <w:p w:rsidR="007763BB" w:rsidRPr="00E4443B" w:rsidRDefault="007763BB" w:rsidP="007763BB">
      <w:bookmarkStart w:id="13" w:name="_Toc479172491"/>
      <w:r w:rsidRPr="00E4443B">
        <w:t>PSR is anticipating a break-even position for the Budget and forward years. The Budget year and forward years have been adjusted for unfunded depreciation and amortisation expenses.</w:t>
      </w:r>
    </w:p>
    <w:p w:rsidR="00A82260" w:rsidRPr="00A82260" w:rsidRDefault="006318A3" w:rsidP="006318A3">
      <w:pPr>
        <w:pStyle w:val="Heading6"/>
      </w:pPr>
      <w:r w:rsidRPr="00A82260">
        <w:t>Balance Sheet</w:t>
      </w:r>
    </w:p>
    <w:p w:rsidR="007763BB" w:rsidRPr="00E4443B" w:rsidRDefault="007763BB" w:rsidP="007763BB">
      <w:r w:rsidRPr="00E4443B">
        <w:t xml:space="preserve">PSR’s total assets and liabilities are expected to remain relatively stable over the forward years. </w:t>
      </w:r>
    </w:p>
    <w:p w:rsidR="00234523" w:rsidRPr="005848AC" w:rsidRDefault="00234523" w:rsidP="005848AC">
      <w:r>
        <w:br w:type="page"/>
      </w:r>
    </w:p>
    <w:p w:rsidR="00456383" w:rsidRPr="00456383" w:rsidRDefault="00456383" w:rsidP="00F22D7C">
      <w:pPr>
        <w:pStyle w:val="Heading3"/>
        <w:spacing w:before="120" w:after="120"/>
      </w:pPr>
      <w:bookmarkStart w:id="14" w:name="_Toc4874685"/>
      <w:r w:rsidRPr="00456383">
        <w:t>3.2</w:t>
      </w:r>
      <w:r w:rsidRPr="00456383">
        <w:tab/>
        <w:t>Budgeted Financial Statements Tables</w:t>
      </w:r>
      <w:bookmarkEnd w:id="13"/>
      <w:bookmarkEnd w:id="14"/>
    </w:p>
    <w:p w:rsidR="00E31C99" w:rsidRDefault="00456383" w:rsidP="006318A3">
      <w:pPr>
        <w:pStyle w:val="Tablenumberandreference"/>
        <w:rPr>
          <w:snapToGrid w:val="0"/>
        </w:rPr>
      </w:pPr>
      <w:r w:rsidRPr="00456383">
        <w:t xml:space="preserve">Table 3.1: Comprehensive Income Statement (showing net cost of services </w:t>
      </w:r>
      <w:r w:rsidRPr="00456383">
        <w:rPr>
          <w:snapToGrid w:val="0"/>
        </w:rPr>
        <w:t xml:space="preserve">for the period </w:t>
      </w:r>
      <w:r w:rsidRPr="00456383">
        <w:t>ended</w:t>
      </w:r>
      <w:r w:rsidRPr="00456383">
        <w:rPr>
          <w:snapToGrid w:val="0"/>
        </w:rPr>
        <w:t xml:space="preserve"> 30 June</w:t>
      </w:r>
      <w:r w:rsidR="00CC74B7">
        <w:rPr>
          <w:snapToGrid w:val="0"/>
        </w:rPr>
        <w:t>)</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7763BB" w:rsidRPr="007763BB" w:rsidTr="00340D73">
        <w:trPr>
          <w:trHeight w:val="765"/>
          <w:jc w:val="center"/>
        </w:trPr>
        <w:tc>
          <w:tcPr>
            <w:tcW w:w="2860" w:type="dxa"/>
            <w:tcBorders>
              <w:top w:val="single" w:sz="4" w:space="0" w:color="auto"/>
              <w:left w:val="nil"/>
              <w:bottom w:val="nil"/>
              <w:right w:val="nil"/>
            </w:tcBorders>
            <w:shd w:val="clear" w:color="auto" w:fill="auto"/>
            <w:hideMark/>
          </w:tcPr>
          <w:p w:rsidR="007763BB" w:rsidRPr="007763BB" w:rsidRDefault="007763BB" w:rsidP="007763BB">
            <w:pPr>
              <w:spacing w:before="40" w:after="0"/>
              <w:jc w:val="right"/>
              <w:rPr>
                <w:rFonts w:ascii="Times New Roman" w:hAnsi="Times New Roman"/>
                <w:color w:val="auto"/>
                <w:sz w:val="24"/>
                <w:szCs w:val="24"/>
              </w:rPr>
            </w:pPr>
          </w:p>
        </w:tc>
        <w:tc>
          <w:tcPr>
            <w:tcW w:w="900" w:type="dxa"/>
            <w:tcBorders>
              <w:top w:val="single" w:sz="4" w:space="0" w:color="auto"/>
              <w:left w:val="nil"/>
              <w:bottom w:val="single" w:sz="4" w:space="0" w:color="auto"/>
              <w:right w:val="nil"/>
            </w:tcBorders>
            <w:shd w:val="clear" w:color="auto" w:fill="auto"/>
            <w:tcMar>
              <w:left w:w="0" w:type="dxa"/>
            </w:tcMar>
            <w:hideMark/>
          </w:tcPr>
          <w:p w:rsidR="007763BB" w:rsidRPr="007763BB" w:rsidRDefault="007763BB" w:rsidP="007763BB">
            <w:pPr>
              <w:spacing w:before="40" w:after="0"/>
              <w:jc w:val="right"/>
              <w:rPr>
                <w:rFonts w:ascii="Arial" w:hAnsi="Arial" w:cs="Arial"/>
                <w:b/>
                <w:bCs/>
                <w:color w:val="auto"/>
                <w:sz w:val="16"/>
                <w:szCs w:val="16"/>
              </w:rPr>
            </w:pPr>
            <w:r w:rsidRPr="007763BB">
              <w:rPr>
                <w:rFonts w:ascii="Arial" w:hAnsi="Arial" w:cs="Arial"/>
                <w:b/>
                <w:bCs/>
                <w:color w:val="auto"/>
                <w:sz w:val="16"/>
                <w:szCs w:val="16"/>
              </w:rPr>
              <w:t>2018-19 Estimated actual</w:t>
            </w:r>
            <w:r w:rsidRPr="007763BB">
              <w:rPr>
                <w:rFonts w:ascii="Arial" w:hAnsi="Arial" w:cs="Arial"/>
                <w:b/>
                <w:bCs/>
                <w:color w:val="auto"/>
                <w:sz w:val="16"/>
                <w:szCs w:val="16"/>
              </w:rPr>
              <w:br/>
            </w:r>
            <w:r w:rsidRPr="007763BB">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hideMark/>
          </w:tcPr>
          <w:p w:rsidR="007763BB" w:rsidRPr="007763BB" w:rsidRDefault="007763BB" w:rsidP="007763BB">
            <w:pPr>
              <w:spacing w:before="40" w:after="0"/>
              <w:jc w:val="right"/>
              <w:rPr>
                <w:rFonts w:ascii="Arial" w:hAnsi="Arial" w:cs="Arial"/>
                <w:b/>
                <w:bCs/>
                <w:color w:val="auto"/>
                <w:sz w:val="16"/>
                <w:szCs w:val="16"/>
              </w:rPr>
            </w:pPr>
            <w:r w:rsidRPr="007763BB">
              <w:rPr>
                <w:rFonts w:ascii="Arial" w:hAnsi="Arial" w:cs="Arial"/>
                <w:b/>
                <w:bCs/>
                <w:color w:val="auto"/>
                <w:sz w:val="16"/>
                <w:szCs w:val="16"/>
              </w:rPr>
              <w:t xml:space="preserve">2019-20 Budget </w:t>
            </w:r>
            <w:r w:rsidRPr="007763BB">
              <w:rPr>
                <w:rFonts w:ascii="Arial" w:hAnsi="Arial" w:cs="Arial"/>
                <w:b/>
                <w:bCs/>
                <w:color w:val="auto"/>
                <w:sz w:val="16"/>
                <w:szCs w:val="16"/>
              </w:rPr>
              <w:br/>
            </w:r>
            <w:r w:rsidRPr="007763BB">
              <w:rPr>
                <w:rFonts w:ascii="Arial" w:hAnsi="Arial" w:cs="Arial"/>
                <w:b/>
                <w:bCs/>
                <w:color w:val="auto"/>
                <w:sz w:val="16"/>
                <w:szCs w:val="16"/>
              </w:rPr>
              <w:br/>
            </w:r>
            <w:r w:rsidRPr="007763BB">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rsidR="007763BB" w:rsidRPr="007763BB" w:rsidRDefault="007763BB" w:rsidP="007763BB">
            <w:pPr>
              <w:spacing w:before="40" w:after="0"/>
              <w:jc w:val="right"/>
              <w:rPr>
                <w:rFonts w:ascii="Arial" w:hAnsi="Arial" w:cs="Arial"/>
                <w:b/>
                <w:bCs/>
                <w:color w:val="auto"/>
                <w:sz w:val="16"/>
                <w:szCs w:val="16"/>
              </w:rPr>
            </w:pPr>
            <w:r w:rsidRPr="007763BB">
              <w:rPr>
                <w:rFonts w:ascii="Arial" w:hAnsi="Arial" w:cs="Arial"/>
                <w:b/>
                <w:bCs/>
                <w:color w:val="auto"/>
                <w:sz w:val="16"/>
                <w:szCs w:val="16"/>
              </w:rPr>
              <w:t>2020-21 Forward estimate</w:t>
            </w:r>
            <w:r w:rsidRPr="007763BB">
              <w:rPr>
                <w:rFonts w:ascii="Arial" w:hAnsi="Arial" w:cs="Arial"/>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rsidR="007763BB" w:rsidRPr="007763BB" w:rsidRDefault="007763BB" w:rsidP="007763BB">
            <w:pPr>
              <w:spacing w:before="40" w:after="0"/>
              <w:jc w:val="right"/>
              <w:rPr>
                <w:rFonts w:ascii="Arial" w:hAnsi="Arial" w:cs="Arial"/>
                <w:b/>
                <w:bCs/>
                <w:color w:val="auto"/>
                <w:sz w:val="16"/>
                <w:szCs w:val="16"/>
              </w:rPr>
            </w:pPr>
            <w:r w:rsidRPr="007763BB">
              <w:rPr>
                <w:rFonts w:ascii="Arial" w:hAnsi="Arial" w:cs="Arial"/>
                <w:b/>
                <w:bCs/>
                <w:color w:val="auto"/>
                <w:sz w:val="16"/>
                <w:szCs w:val="16"/>
              </w:rPr>
              <w:t>2021-22 Forward estimate</w:t>
            </w:r>
            <w:r w:rsidRPr="007763BB">
              <w:rPr>
                <w:rFonts w:ascii="Arial" w:hAnsi="Arial" w:cs="Arial"/>
                <w:b/>
                <w:bCs/>
                <w:color w:val="auto"/>
                <w:sz w:val="16"/>
                <w:szCs w:val="16"/>
              </w:rPr>
              <w:br/>
            </w:r>
            <w:r w:rsidRPr="007763BB">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rsidR="007763BB" w:rsidRPr="007763BB" w:rsidRDefault="007763BB" w:rsidP="007763BB">
            <w:pPr>
              <w:spacing w:before="40" w:after="0"/>
              <w:jc w:val="right"/>
              <w:rPr>
                <w:rFonts w:ascii="Arial" w:hAnsi="Arial" w:cs="Arial"/>
                <w:b/>
                <w:bCs/>
                <w:color w:val="auto"/>
                <w:sz w:val="16"/>
                <w:szCs w:val="16"/>
              </w:rPr>
            </w:pPr>
            <w:r w:rsidRPr="007763BB">
              <w:rPr>
                <w:rFonts w:ascii="Arial" w:hAnsi="Arial" w:cs="Arial"/>
                <w:b/>
                <w:bCs/>
                <w:color w:val="auto"/>
                <w:sz w:val="16"/>
                <w:szCs w:val="16"/>
              </w:rPr>
              <w:t>2022-23 Forward estimate</w:t>
            </w:r>
            <w:r w:rsidRPr="007763BB">
              <w:rPr>
                <w:rFonts w:ascii="Arial" w:hAnsi="Arial" w:cs="Arial"/>
                <w:b/>
                <w:bCs/>
                <w:color w:val="auto"/>
                <w:sz w:val="16"/>
                <w:szCs w:val="16"/>
              </w:rPr>
              <w:br/>
            </w:r>
            <w:r w:rsidRPr="007763BB">
              <w:rPr>
                <w:rFonts w:ascii="Arial" w:hAnsi="Arial" w:cs="Arial"/>
                <w:color w:val="auto"/>
                <w:sz w:val="16"/>
                <w:szCs w:val="16"/>
              </w:rPr>
              <w:t>$'000</w:t>
            </w:r>
          </w:p>
        </w:tc>
      </w:tr>
      <w:tr w:rsidR="007763BB" w:rsidRPr="007763BB" w:rsidTr="007763BB">
        <w:trPr>
          <w:trHeight w:val="225"/>
          <w:jc w:val="center"/>
        </w:trPr>
        <w:tc>
          <w:tcPr>
            <w:tcW w:w="2860" w:type="dxa"/>
            <w:tcBorders>
              <w:top w:val="nil"/>
              <w:left w:val="nil"/>
              <w:bottom w:val="nil"/>
              <w:right w:val="nil"/>
            </w:tcBorders>
            <w:shd w:val="clear" w:color="auto" w:fill="auto"/>
            <w:noWrap/>
            <w:vAlign w:val="bottom"/>
            <w:hideMark/>
          </w:tcPr>
          <w:p w:rsidR="007763BB" w:rsidRPr="007763BB" w:rsidRDefault="007763BB" w:rsidP="007763BB">
            <w:pPr>
              <w:spacing w:after="0"/>
              <w:rPr>
                <w:rFonts w:ascii="Arial" w:hAnsi="Arial" w:cs="Arial"/>
                <w:b/>
                <w:bCs/>
                <w:color w:val="auto"/>
                <w:sz w:val="16"/>
                <w:szCs w:val="16"/>
              </w:rPr>
            </w:pPr>
            <w:r w:rsidRPr="007763BB">
              <w:rPr>
                <w:rFonts w:ascii="Arial" w:hAnsi="Arial" w:cs="Arial"/>
                <w:b/>
                <w:bCs/>
                <w:color w:val="auto"/>
                <w:sz w:val="16"/>
                <w:szCs w:val="16"/>
              </w:rPr>
              <w:t>EXPENSES</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Times New Roman" w:hAnsi="Times New Roman"/>
                <w:color w:val="auto"/>
              </w:rPr>
            </w:pPr>
          </w:p>
        </w:tc>
      </w:tr>
      <w:tr w:rsidR="007763BB" w:rsidRPr="007763BB" w:rsidTr="007763BB">
        <w:trPr>
          <w:trHeight w:val="225"/>
          <w:jc w:val="center"/>
        </w:trPr>
        <w:tc>
          <w:tcPr>
            <w:tcW w:w="2860" w:type="dxa"/>
            <w:tcBorders>
              <w:top w:val="nil"/>
              <w:left w:val="nil"/>
              <w:bottom w:val="nil"/>
              <w:right w:val="nil"/>
            </w:tcBorders>
            <w:shd w:val="clear" w:color="auto" w:fill="auto"/>
            <w:noWrap/>
            <w:vAlign w:val="bottom"/>
            <w:hideMark/>
          </w:tcPr>
          <w:p w:rsidR="007763BB" w:rsidRPr="007763BB" w:rsidRDefault="007763BB" w:rsidP="007763BB">
            <w:pPr>
              <w:spacing w:after="0"/>
              <w:ind w:firstLineChars="100" w:firstLine="160"/>
              <w:rPr>
                <w:rFonts w:ascii="Arial" w:hAnsi="Arial" w:cs="Arial"/>
                <w:color w:val="auto"/>
                <w:sz w:val="16"/>
                <w:szCs w:val="16"/>
              </w:rPr>
            </w:pPr>
            <w:r w:rsidRPr="007763BB">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3,168</w:t>
            </w:r>
          </w:p>
        </w:tc>
        <w:tc>
          <w:tcPr>
            <w:tcW w:w="900" w:type="dxa"/>
            <w:tcBorders>
              <w:top w:val="nil"/>
              <w:left w:val="nil"/>
              <w:bottom w:val="nil"/>
              <w:right w:val="nil"/>
            </w:tcBorders>
            <w:shd w:val="clear" w:color="000000" w:fill="D9D9D9"/>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3,598</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3,676</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3,759</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3,873</w:t>
            </w:r>
          </w:p>
        </w:tc>
      </w:tr>
      <w:tr w:rsidR="007763BB" w:rsidRPr="007763BB" w:rsidTr="007763BB">
        <w:trPr>
          <w:trHeight w:val="225"/>
          <w:jc w:val="center"/>
        </w:trPr>
        <w:tc>
          <w:tcPr>
            <w:tcW w:w="2860" w:type="dxa"/>
            <w:tcBorders>
              <w:top w:val="nil"/>
              <w:left w:val="nil"/>
              <w:bottom w:val="nil"/>
              <w:right w:val="nil"/>
            </w:tcBorders>
            <w:shd w:val="clear" w:color="auto" w:fill="auto"/>
            <w:noWrap/>
            <w:vAlign w:val="bottom"/>
            <w:hideMark/>
          </w:tcPr>
          <w:p w:rsidR="007763BB" w:rsidRPr="007763BB" w:rsidRDefault="007763BB" w:rsidP="007763BB">
            <w:pPr>
              <w:spacing w:after="0"/>
              <w:ind w:firstLineChars="100" w:firstLine="160"/>
              <w:rPr>
                <w:rFonts w:ascii="Arial" w:hAnsi="Arial" w:cs="Arial"/>
                <w:color w:val="auto"/>
                <w:sz w:val="16"/>
                <w:szCs w:val="16"/>
              </w:rPr>
            </w:pPr>
            <w:r w:rsidRPr="007763BB">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3,810</w:t>
            </w:r>
          </w:p>
        </w:tc>
        <w:tc>
          <w:tcPr>
            <w:tcW w:w="900" w:type="dxa"/>
            <w:tcBorders>
              <w:top w:val="nil"/>
              <w:left w:val="nil"/>
              <w:bottom w:val="nil"/>
              <w:right w:val="nil"/>
            </w:tcBorders>
            <w:shd w:val="clear" w:color="000000" w:fill="D9D9D9"/>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5,043</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5,031</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5,005</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4,955</w:t>
            </w:r>
          </w:p>
        </w:tc>
      </w:tr>
      <w:tr w:rsidR="007763BB" w:rsidRPr="007763BB" w:rsidTr="007763BB">
        <w:trPr>
          <w:trHeight w:val="225"/>
          <w:jc w:val="center"/>
        </w:trPr>
        <w:tc>
          <w:tcPr>
            <w:tcW w:w="2860" w:type="dxa"/>
            <w:tcBorders>
              <w:top w:val="nil"/>
              <w:left w:val="nil"/>
              <w:bottom w:val="nil"/>
              <w:right w:val="nil"/>
            </w:tcBorders>
            <w:shd w:val="clear" w:color="auto" w:fill="auto"/>
            <w:noWrap/>
            <w:vAlign w:val="bottom"/>
            <w:hideMark/>
          </w:tcPr>
          <w:p w:rsidR="007763BB" w:rsidRPr="007763BB" w:rsidRDefault="007763BB" w:rsidP="007763BB">
            <w:pPr>
              <w:spacing w:after="0"/>
              <w:ind w:firstLineChars="100" w:firstLine="160"/>
              <w:rPr>
                <w:rFonts w:ascii="Arial" w:hAnsi="Arial" w:cs="Arial"/>
                <w:color w:val="auto"/>
                <w:sz w:val="16"/>
                <w:szCs w:val="16"/>
              </w:rPr>
            </w:pPr>
            <w:r w:rsidRPr="007763BB">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264</w:t>
            </w:r>
          </w:p>
        </w:tc>
        <w:tc>
          <w:tcPr>
            <w:tcW w:w="900" w:type="dxa"/>
            <w:tcBorders>
              <w:top w:val="nil"/>
              <w:left w:val="nil"/>
              <w:bottom w:val="nil"/>
              <w:right w:val="nil"/>
            </w:tcBorders>
            <w:shd w:val="clear" w:color="000000" w:fill="D9D9D9"/>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290</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286</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276</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186</w:t>
            </w:r>
          </w:p>
        </w:tc>
      </w:tr>
      <w:tr w:rsidR="007763BB" w:rsidRPr="007763BB" w:rsidTr="007763BB">
        <w:trPr>
          <w:trHeight w:val="225"/>
          <w:jc w:val="center"/>
        </w:trPr>
        <w:tc>
          <w:tcPr>
            <w:tcW w:w="2860" w:type="dxa"/>
            <w:tcBorders>
              <w:top w:val="nil"/>
              <w:left w:val="nil"/>
              <w:bottom w:val="nil"/>
              <w:right w:val="nil"/>
            </w:tcBorders>
            <w:shd w:val="clear" w:color="auto" w:fill="auto"/>
            <w:vAlign w:val="bottom"/>
            <w:hideMark/>
          </w:tcPr>
          <w:p w:rsidR="007763BB" w:rsidRPr="007763BB" w:rsidRDefault="007763BB" w:rsidP="007763BB">
            <w:pPr>
              <w:spacing w:after="0"/>
              <w:ind w:firstLineChars="100" w:firstLine="160"/>
              <w:rPr>
                <w:rFonts w:ascii="Arial" w:hAnsi="Arial" w:cs="Arial"/>
                <w:color w:val="auto"/>
                <w:sz w:val="16"/>
                <w:szCs w:val="16"/>
              </w:rPr>
            </w:pPr>
            <w:r w:rsidRPr="007763BB">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2</w:t>
            </w:r>
          </w:p>
        </w:tc>
        <w:tc>
          <w:tcPr>
            <w:tcW w:w="900" w:type="dxa"/>
            <w:tcBorders>
              <w:top w:val="nil"/>
              <w:left w:val="nil"/>
              <w:bottom w:val="nil"/>
              <w:right w:val="nil"/>
            </w:tcBorders>
            <w:shd w:val="clear" w:color="000000" w:fill="D9D9D9"/>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10</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2</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2</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2</w:t>
            </w:r>
          </w:p>
        </w:tc>
      </w:tr>
      <w:tr w:rsidR="007763BB" w:rsidRPr="007763BB" w:rsidTr="007763BB">
        <w:trPr>
          <w:trHeight w:val="225"/>
          <w:jc w:val="center"/>
        </w:trPr>
        <w:tc>
          <w:tcPr>
            <w:tcW w:w="2860" w:type="dxa"/>
            <w:tcBorders>
              <w:top w:val="nil"/>
              <w:left w:val="nil"/>
              <w:bottom w:val="nil"/>
              <w:right w:val="nil"/>
            </w:tcBorders>
            <w:shd w:val="clear" w:color="auto" w:fill="auto"/>
            <w:noWrap/>
            <w:vAlign w:val="bottom"/>
            <w:hideMark/>
          </w:tcPr>
          <w:p w:rsidR="007763BB" w:rsidRPr="007763BB" w:rsidRDefault="007763BB" w:rsidP="001B17A0">
            <w:pPr>
              <w:spacing w:after="0"/>
              <w:ind w:firstLineChars="100" w:firstLine="160"/>
              <w:rPr>
                <w:rFonts w:ascii="Arial" w:hAnsi="Arial" w:cs="Arial"/>
                <w:b/>
                <w:bCs/>
                <w:color w:val="auto"/>
                <w:sz w:val="16"/>
                <w:szCs w:val="16"/>
              </w:rPr>
            </w:pPr>
            <w:r w:rsidRPr="007763BB">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7,244</w:t>
            </w:r>
          </w:p>
        </w:tc>
        <w:tc>
          <w:tcPr>
            <w:tcW w:w="900" w:type="dxa"/>
            <w:tcBorders>
              <w:top w:val="nil"/>
              <w:left w:val="nil"/>
              <w:bottom w:val="single" w:sz="4" w:space="0" w:color="auto"/>
              <w:right w:val="nil"/>
            </w:tcBorders>
            <w:shd w:val="clear" w:color="000000" w:fill="D9D9D9"/>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8,941</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8,995</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9,042</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9,016</w:t>
            </w:r>
          </w:p>
        </w:tc>
      </w:tr>
      <w:tr w:rsidR="007763BB" w:rsidRPr="007763BB" w:rsidTr="007763BB">
        <w:trPr>
          <w:trHeight w:val="300"/>
          <w:jc w:val="center"/>
        </w:trPr>
        <w:tc>
          <w:tcPr>
            <w:tcW w:w="2860" w:type="dxa"/>
            <w:tcBorders>
              <w:top w:val="nil"/>
              <w:left w:val="nil"/>
              <w:bottom w:val="nil"/>
              <w:right w:val="nil"/>
            </w:tcBorders>
            <w:shd w:val="clear" w:color="auto" w:fill="auto"/>
            <w:noWrap/>
            <w:vAlign w:val="bottom"/>
            <w:hideMark/>
          </w:tcPr>
          <w:p w:rsidR="007763BB" w:rsidRPr="007763BB" w:rsidRDefault="007763BB" w:rsidP="007763BB">
            <w:pPr>
              <w:spacing w:after="0"/>
              <w:rPr>
                <w:rFonts w:ascii="Arial" w:hAnsi="Arial" w:cs="Arial"/>
                <w:b/>
                <w:bCs/>
                <w:color w:val="auto"/>
                <w:sz w:val="16"/>
                <w:szCs w:val="16"/>
              </w:rPr>
            </w:pPr>
            <w:r w:rsidRPr="007763BB">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Times New Roman" w:hAnsi="Times New Roman"/>
                <w:color w:val="auto"/>
              </w:rPr>
            </w:pPr>
          </w:p>
        </w:tc>
      </w:tr>
      <w:tr w:rsidR="007763BB" w:rsidRPr="007763BB" w:rsidTr="007763BB">
        <w:trPr>
          <w:trHeight w:val="225"/>
          <w:jc w:val="center"/>
        </w:trPr>
        <w:tc>
          <w:tcPr>
            <w:tcW w:w="2860" w:type="dxa"/>
            <w:tcBorders>
              <w:top w:val="nil"/>
              <w:left w:val="nil"/>
              <w:bottom w:val="nil"/>
              <w:right w:val="nil"/>
            </w:tcBorders>
            <w:shd w:val="clear" w:color="auto" w:fill="auto"/>
            <w:noWrap/>
            <w:vAlign w:val="bottom"/>
            <w:hideMark/>
          </w:tcPr>
          <w:p w:rsidR="007763BB" w:rsidRPr="007763BB" w:rsidRDefault="007763BB" w:rsidP="007763BB">
            <w:pPr>
              <w:spacing w:after="0"/>
              <w:rPr>
                <w:rFonts w:ascii="Arial" w:hAnsi="Arial" w:cs="Arial"/>
                <w:b/>
                <w:bCs/>
                <w:color w:val="auto"/>
                <w:sz w:val="16"/>
                <w:szCs w:val="16"/>
              </w:rPr>
            </w:pPr>
            <w:r w:rsidRPr="007763BB">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Times New Roman" w:hAnsi="Times New Roman"/>
                <w:color w:val="auto"/>
              </w:rPr>
            </w:pPr>
          </w:p>
        </w:tc>
      </w:tr>
      <w:tr w:rsidR="007763BB" w:rsidRPr="007763BB" w:rsidTr="007763BB">
        <w:trPr>
          <w:trHeight w:val="225"/>
          <w:jc w:val="center"/>
        </w:trPr>
        <w:tc>
          <w:tcPr>
            <w:tcW w:w="2860" w:type="dxa"/>
            <w:tcBorders>
              <w:top w:val="nil"/>
              <w:left w:val="nil"/>
              <w:bottom w:val="nil"/>
              <w:right w:val="nil"/>
            </w:tcBorders>
            <w:shd w:val="clear" w:color="auto" w:fill="auto"/>
            <w:noWrap/>
            <w:vAlign w:val="bottom"/>
            <w:hideMark/>
          </w:tcPr>
          <w:p w:rsidR="007763BB" w:rsidRPr="007763BB" w:rsidRDefault="007763BB" w:rsidP="001B17A0">
            <w:pPr>
              <w:spacing w:after="0"/>
              <w:ind w:firstLineChars="100" w:firstLine="160"/>
              <w:rPr>
                <w:rFonts w:ascii="Arial" w:hAnsi="Arial" w:cs="Arial"/>
                <w:b/>
                <w:bCs/>
                <w:color w:val="auto"/>
                <w:sz w:val="16"/>
                <w:szCs w:val="16"/>
              </w:rPr>
            </w:pPr>
            <w:r w:rsidRPr="007763BB">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rsidR="007763BB" w:rsidRPr="007763BB" w:rsidRDefault="007763BB" w:rsidP="001B17A0">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Times New Roman" w:hAnsi="Times New Roman"/>
                <w:color w:val="auto"/>
              </w:rPr>
            </w:pPr>
          </w:p>
        </w:tc>
      </w:tr>
      <w:tr w:rsidR="007763BB" w:rsidRPr="007763BB" w:rsidTr="007763BB">
        <w:trPr>
          <w:trHeight w:val="450"/>
          <w:jc w:val="center"/>
        </w:trPr>
        <w:tc>
          <w:tcPr>
            <w:tcW w:w="2860" w:type="dxa"/>
            <w:tcBorders>
              <w:top w:val="nil"/>
              <w:left w:val="nil"/>
              <w:bottom w:val="nil"/>
              <w:right w:val="nil"/>
            </w:tcBorders>
            <w:shd w:val="clear" w:color="auto" w:fill="auto"/>
            <w:vAlign w:val="bottom"/>
            <w:hideMark/>
          </w:tcPr>
          <w:p w:rsidR="007763BB" w:rsidRPr="007763BB" w:rsidRDefault="007763BB" w:rsidP="00340D73">
            <w:pPr>
              <w:spacing w:after="0"/>
              <w:ind w:leftChars="150" w:left="300"/>
              <w:rPr>
                <w:rFonts w:ascii="Arial" w:hAnsi="Arial" w:cs="Arial"/>
                <w:color w:val="auto"/>
                <w:sz w:val="16"/>
                <w:szCs w:val="16"/>
              </w:rPr>
            </w:pPr>
            <w:r w:rsidRPr="007763BB">
              <w:rPr>
                <w:rFonts w:ascii="Arial" w:hAnsi="Arial" w:cs="Arial"/>
                <w:color w:val="auto"/>
                <w:sz w:val="16"/>
                <w:szCs w:val="16"/>
              </w:rPr>
              <w:t>Sale of goods and rendering of services</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w:t>
            </w:r>
          </w:p>
        </w:tc>
      </w:tr>
      <w:tr w:rsidR="007763BB" w:rsidRPr="007763BB" w:rsidTr="007763BB">
        <w:trPr>
          <w:trHeight w:val="225"/>
          <w:jc w:val="center"/>
        </w:trPr>
        <w:tc>
          <w:tcPr>
            <w:tcW w:w="2860" w:type="dxa"/>
            <w:tcBorders>
              <w:top w:val="nil"/>
              <w:left w:val="nil"/>
              <w:bottom w:val="nil"/>
              <w:right w:val="nil"/>
            </w:tcBorders>
            <w:shd w:val="clear" w:color="auto" w:fill="auto"/>
            <w:noWrap/>
            <w:vAlign w:val="bottom"/>
            <w:hideMark/>
          </w:tcPr>
          <w:p w:rsidR="007763BB" w:rsidRPr="007763BB" w:rsidRDefault="007763BB" w:rsidP="007763BB">
            <w:pPr>
              <w:spacing w:after="0"/>
              <w:ind w:firstLineChars="200" w:firstLine="320"/>
              <w:rPr>
                <w:rFonts w:ascii="Arial" w:hAnsi="Arial" w:cs="Arial"/>
                <w:color w:val="auto"/>
                <w:sz w:val="16"/>
                <w:szCs w:val="16"/>
              </w:rPr>
            </w:pPr>
            <w:r w:rsidRPr="007763BB">
              <w:rPr>
                <w:rFonts w:ascii="Arial" w:hAnsi="Arial" w:cs="Arial"/>
                <w:color w:val="auto"/>
                <w:sz w:val="16"/>
                <w:szCs w:val="16"/>
              </w:rPr>
              <w:t>Other revenue</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w:t>
            </w:r>
          </w:p>
        </w:tc>
      </w:tr>
      <w:tr w:rsidR="007763BB" w:rsidRPr="007763BB" w:rsidTr="007763BB">
        <w:trPr>
          <w:trHeight w:val="225"/>
          <w:jc w:val="center"/>
        </w:trPr>
        <w:tc>
          <w:tcPr>
            <w:tcW w:w="2860" w:type="dxa"/>
            <w:tcBorders>
              <w:top w:val="nil"/>
              <w:left w:val="nil"/>
              <w:bottom w:val="nil"/>
              <w:right w:val="nil"/>
            </w:tcBorders>
            <w:shd w:val="clear" w:color="auto" w:fill="auto"/>
            <w:noWrap/>
            <w:vAlign w:val="bottom"/>
            <w:hideMark/>
          </w:tcPr>
          <w:p w:rsidR="007763BB" w:rsidRPr="007763BB" w:rsidRDefault="007763BB" w:rsidP="001B17A0">
            <w:pPr>
              <w:spacing w:after="0"/>
              <w:ind w:firstLineChars="200" w:firstLine="320"/>
              <w:rPr>
                <w:rFonts w:ascii="Arial" w:hAnsi="Arial" w:cs="Arial"/>
                <w:b/>
                <w:bCs/>
                <w:color w:val="auto"/>
                <w:sz w:val="16"/>
                <w:szCs w:val="16"/>
              </w:rPr>
            </w:pPr>
            <w:r w:rsidRPr="007763BB">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w:t>
            </w:r>
          </w:p>
        </w:tc>
      </w:tr>
      <w:tr w:rsidR="007763BB" w:rsidRPr="007763BB" w:rsidTr="007763BB">
        <w:trPr>
          <w:trHeight w:val="300"/>
          <w:jc w:val="center"/>
        </w:trPr>
        <w:tc>
          <w:tcPr>
            <w:tcW w:w="2860" w:type="dxa"/>
            <w:tcBorders>
              <w:top w:val="nil"/>
              <w:left w:val="nil"/>
              <w:bottom w:val="nil"/>
              <w:right w:val="nil"/>
            </w:tcBorders>
            <w:shd w:val="clear" w:color="auto" w:fill="auto"/>
            <w:noWrap/>
            <w:vAlign w:val="bottom"/>
            <w:hideMark/>
          </w:tcPr>
          <w:p w:rsidR="007763BB" w:rsidRPr="007763BB" w:rsidRDefault="007763BB" w:rsidP="001B17A0">
            <w:pPr>
              <w:spacing w:after="0"/>
              <w:ind w:firstLineChars="100" w:firstLine="160"/>
              <w:rPr>
                <w:rFonts w:ascii="Arial" w:hAnsi="Arial" w:cs="Arial"/>
                <w:b/>
                <w:bCs/>
                <w:color w:val="auto"/>
                <w:sz w:val="16"/>
                <w:szCs w:val="16"/>
              </w:rPr>
            </w:pPr>
            <w:r w:rsidRPr="007763BB">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rsidR="007763BB" w:rsidRPr="007763BB" w:rsidRDefault="007763BB" w:rsidP="001B17A0">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Times New Roman" w:hAnsi="Times New Roman"/>
                <w:color w:val="auto"/>
              </w:rPr>
            </w:pPr>
          </w:p>
        </w:tc>
      </w:tr>
      <w:tr w:rsidR="007763BB" w:rsidRPr="007763BB" w:rsidTr="00811023">
        <w:trPr>
          <w:trHeight w:val="283"/>
          <w:jc w:val="center"/>
        </w:trPr>
        <w:tc>
          <w:tcPr>
            <w:tcW w:w="2860" w:type="dxa"/>
            <w:tcBorders>
              <w:top w:val="nil"/>
              <w:left w:val="nil"/>
              <w:bottom w:val="nil"/>
              <w:right w:val="nil"/>
            </w:tcBorders>
            <w:shd w:val="clear" w:color="auto" w:fill="auto"/>
            <w:noWrap/>
            <w:vAlign w:val="bottom"/>
            <w:hideMark/>
          </w:tcPr>
          <w:p w:rsidR="007763BB" w:rsidRPr="007763BB" w:rsidRDefault="007763BB" w:rsidP="007763BB">
            <w:pPr>
              <w:spacing w:after="0"/>
              <w:ind w:firstLineChars="200" w:firstLine="320"/>
              <w:rPr>
                <w:rFonts w:ascii="Arial" w:hAnsi="Arial" w:cs="Arial"/>
                <w:color w:val="auto"/>
                <w:sz w:val="16"/>
                <w:szCs w:val="16"/>
              </w:rPr>
            </w:pPr>
            <w:r w:rsidRPr="007763BB">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34</w:t>
            </w:r>
          </w:p>
        </w:tc>
        <w:tc>
          <w:tcPr>
            <w:tcW w:w="900" w:type="dxa"/>
            <w:tcBorders>
              <w:top w:val="nil"/>
              <w:left w:val="nil"/>
              <w:bottom w:val="nil"/>
              <w:right w:val="nil"/>
            </w:tcBorders>
            <w:shd w:val="clear" w:color="000000" w:fill="D9D9D9"/>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35</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36</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37</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38</w:t>
            </w:r>
          </w:p>
        </w:tc>
      </w:tr>
      <w:tr w:rsidR="007763BB" w:rsidRPr="007763BB" w:rsidTr="007763BB">
        <w:trPr>
          <w:trHeight w:val="225"/>
          <w:jc w:val="center"/>
        </w:trPr>
        <w:tc>
          <w:tcPr>
            <w:tcW w:w="2860" w:type="dxa"/>
            <w:tcBorders>
              <w:top w:val="nil"/>
              <w:left w:val="nil"/>
              <w:bottom w:val="nil"/>
              <w:right w:val="nil"/>
            </w:tcBorders>
            <w:shd w:val="clear" w:color="auto" w:fill="auto"/>
            <w:noWrap/>
            <w:vAlign w:val="bottom"/>
            <w:hideMark/>
          </w:tcPr>
          <w:p w:rsidR="007763BB" w:rsidRPr="007763BB" w:rsidRDefault="007763BB" w:rsidP="001B17A0">
            <w:pPr>
              <w:spacing w:after="0"/>
              <w:ind w:firstLineChars="200" w:firstLine="320"/>
              <w:rPr>
                <w:rFonts w:ascii="Arial" w:hAnsi="Arial" w:cs="Arial"/>
                <w:b/>
                <w:bCs/>
                <w:color w:val="auto"/>
                <w:sz w:val="16"/>
                <w:szCs w:val="16"/>
              </w:rPr>
            </w:pPr>
            <w:r w:rsidRPr="007763BB">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34</w:t>
            </w:r>
          </w:p>
        </w:tc>
        <w:tc>
          <w:tcPr>
            <w:tcW w:w="900" w:type="dxa"/>
            <w:tcBorders>
              <w:top w:val="nil"/>
              <w:left w:val="nil"/>
              <w:bottom w:val="single" w:sz="4" w:space="0" w:color="auto"/>
              <w:right w:val="nil"/>
            </w:tcBorders>
            <w:shd w:val="clear" w:color="000000" w:fill="D9D9D9"/>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35</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36</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37</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38</w:t>
            </w:r>
          </w:p>
        </w:tc>
      </w:tr>
      <w:tr w:rsidR="007763BB" w:rsidRPr="007763BB" w:rsidTr="007763BB">
        <w:trPr>
          <w:trHeight w:val="225"/>
          <w:jc w:val="center"/>
        </w:trPr>
        <w:tc>
          <w:tcPr>
            <w:tcW w:w="2860" w:type="dxa"/>
            <w:tcBorders>
              <w:top w:val="nil"/>
              <w:left w:val="nil"/>
              <w:bottom w:val="nil"/>
              <w:right w:val="nil"/>
            </w:tcBorders>
            <w:shd w:val="clear" w:color="auto" w:fill="auto"/>
            <w:noWrap/>
            <w:vAlign w:val="bottom"/>
            <w:hideMark/>
          </w:tcPr>
          <w:p w:rsidR="007763BB" w:rsidRPr="007763BB" w:rsidRDefault="007763BB" w:rsidP="001B17A0">
            <w:pPr>
              <w:spacing w:after="0"/>
              <w:ind w:firstLineChars="100" w:firstLine="160"/>
              <w:rPr>
                <w:rFonts w:ascii="Arial" w:hAnsi="Arial" w:cs="Arial"/>
                <w:b/>
                <w:bCs/>
                <w:color w:val="auto"/>
                <w:sz w:val="16"/>
                <w:szCs w:val="16"/>
              </w:rPr>
            </w:pPr>
            <w:r w:rsidRPr="007763BB">
              <w:rPr>
                <w:rFonts w:ascii="Arial" w:hAnsi="Arial" w:cs="Arial"/>
                <w:b/>
                <w:bCs/>
                <w:color w:val="auto"/>
                <w:sz w:val="16"/>
                <w:szCs w:val="16"/>
              </w:rPr>
              <w:t>Total own-source income</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34</w:t>
            </w:r>
          </w:p>
        </w:tc>
        <w:tc>
          <w:tcPr>
            <w:tcW w:w="900" w:type="dxa"/>
            <w:tcBorders>
              <w:top w:val="nil"/>
              <w:left w:val="nil"/>
              <w:bottom w:val="single" w:sz="4" w:space="0" w:color="auto"/>
              <w:right w:val="nil"/>
            </w:tcBorders>
            <w:shd w:val="clear" w:color="000000" w:fill="D9D9D9"/>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35</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36</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37</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38</w:t>
            </w:r>
          </w:p>
        </w:tc>
      </w:tr>
      <w:tr w:rsidR="007763BB" w:rsidRPr="007763BB" w:rsidTr="00340D73">
        <w:trPr>
          <w:trHeight w:val="454"/>
          <w:jc w:val="center"/>
        </w:trPr>
        <w:tc>
          <w:tcPr>
            <w:tcW w:w="2860" w:type="dxa"/>
            <w:tcBorders>
              <w:top w:val="nil"/>
              <w:left w:val="nil"/>
              <w:bottom w:val="nil"/>
              <w:right w:val="nil"/>
            </w:tcBorders>
            <w:shd w:val="clear" w:color="auto" w:fill="auto"/>
            <w:vAlign w:val="bottom"/>
            <w:hideMark/>
          </w:tcPr>
          <w:p w:rsidR="007763BB" w:rsidRPr="007763BB" w:rsidRDefault="007763BB" w:rsidP="007763BB">
            <w:pPr>
              <w:spacing w:after="0"/>
              <w:rPr>
                <w:rFonts w:ascii="Arial" w:hAnsi="Arial" w:cs="Arial"/>
                <w:b/>
                <w:bCs/>
                <w:color w:val="auto"/>
                <w:sz w:val="16"/>
                <w:szCs w:val="16"/>
              </w:rPr>
            </w:pPr>
            <w:r w:rsidRPr="007763BB">
              <w:rPr>
                <w:rFonts w:ascii="Arial" w:hAnsi="Arial" w:cs="Arial"/>
                <w:b/>
                <w:bCs/>
                <w:color w:val="auto"/>
                <w:sz w:val="16"/>
                <w:szCs w:val="16"/>
              </w:rPr>
              <w:t xml:space="preserve">Net cost of (contribution by) services </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7,210</w:t>
            </w:r>
          </w:p>
        </w:tc>
        <w:tc>
          <w:tcPr>
            <w:tcW w:w="900" w:type="dxa"/>
            <w:tcBorders>
              <w:top w:val="nil"/>
              <w:left w:val="nil"/>
              <w:bottom w:val="single" w:sz="4" w:space="0" w:color="auto"/>
              <w:right w:val="nil"/>
            </w:tcBorders>
            <w:shd w:val="clear" w:color="000000" w:fill="D9D9D9"/>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8,906</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8,959</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9,005</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8,978</w:t>
            </w:r>
          </w:p>
        </w:tc>
      </w:tr>
      <w:tr w:rsidR="007763BB" w:rsidRPr="007763BB" w:rsidTr="007763BB">
        <w:trPr>
          <w:trHeight w:val="300"/>
          <w:jc w:val="center"/>
        </w:trPr>
        <w:tc>
          <w:tcPr>
            <w:tcW w:w="2860" w:type="dxa"/>
            <w:tcBorders>
              <w:top w:val="nil"/>
              <w:left w:val="nil"/>
              <w:bottom w:val="nil"/>
              <w:right w:val="nil"/>
            </w:tcBorders>
            <w:shd w:val="clear" w:color="auto" w:fill="auto"/>
            <w:noWrap/>
            <w:vAlign w:val="bottom"/>
            <w:hideMark/>
          </w:tcPr>
          <w:p w:rsidR="007763BB" w:rsidRPr="007763BB" w:rsidRDefault="007763BB" w:rsidP="007763BB">
            <w:pPr>
              <w:spacing w:after="0"/>
              <w:ind w:firstLineChars="100" w:firstLine="160"/>
              <w:rPr>
                <w:rFonts w:ascii="Arial" w:hAnsi="Arial" w:cs="Arial"/>
                <w:color w:val="auto"/>
                <w:sz w:val="16"/>
                <w:szCs w:val="16"/>
              </w:rPr>
            </w:pPr>
            <w:r w:rsidRPr="007763BB">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6,946</w:t>
            </w:r>
          </w:p>
        </w:tc>
        <w:tc>
          <w:tcPr>
            <w:tcW w:w="900" w:type="dxa"/>
            <w:tcBorders>
              <w:top w:val="nil"/>
              <w:left w:val="nil"/>
              <w:bottom w:val="nil"/>
              <w:right w:val="nil"/>
            </w:tcBorders>
            <w:shd w:val="clear" w:color="000000" w:fill="D9D9D9"/>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8,616</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8,673</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8,729</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8,792</w:t>
            </w:r>
          </w:p>
        </w:tc>
      </w:tr>
      <w:tr w:rsidR="007763BB" w:rsidRPr="007763BB" w:rsidTr="007763BB">
        <w:trPr>
          <w:trHeight w:val="300"/>
          <w:jc w:val="center"/>
        </w:trPr>
        <w:tc>
          <w:tcPr>
            <w:tcW w:w="2860" w:type="dxa"/>
            <w:tcBorders>
              <w:top w:val="nil"/>
              <w:left w:val="nil"/>
              <w:bottom w:val="nil"/>
              <w:right w:val="nil"/>
            </w:tcBorders>
            <w:shd w:val="clear" w:color="auto" w:fill="auto"/>
            <w:noWrap/>
            <w:vAlign w:val="bottom"/>
            <w:hideMark/>
          </w:tcPr>
          <w:p w:rsidR="007763BB" w:rsidRPr="007763BB" w:rsidRDefault="007763BB" w:rsidP="007763BB">
            <w:pPr>
              <w:spacing w:after="0"/>
              <w:rPr>
                <w:rFonts w:ascii="Arial" w:hAnsi="Arial" w:cs="Arial"/>
                <w:b/>
                <w:bCs/>
                <w:color w:val="auto"/>
                <w:sz w:val="16"/>
                <w:szCs w:val="16"/>
              </w:rPr>
            </w:pPr>
            <w:r w:rsidRPr="007763BB">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(264)</w:t>
            </w:r>
          </w:p>
        </w:tc>
        <w:tc>
          <w:tcPr>
            <w:tcW w:w="900" w:type="dxa"/>
            <w:tcBorders>
              <w:top w:val="nil"/>
              <w:left w:val="nil"/>
              <w:bottom w:val="single" w:sz="4" w:space="0" w:color="auto"/>
              <w:right w:val="nil"/>
            </w:tcBorders>
            <w:shd w:val="clear" w:color="000000" w:fill="D9D9D9"/>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(290)</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(286)</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(276)</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(186)</w:t>
            </w:r>
          </w:p>
        </w:tc>
      </w:tr>
      <w:tr w:rsidR="007763BB" w:rsidRPr="007763BB" w:rsidTr="007763BB">
        <w:trPr>
          <w:trHeight w:val="454"/>
          <w:jc w:val="center"/>
        </w:trPr>
        <w:tc>
          <w:tcPr>
            <w:tcW w:w="2860" w:type="dxa"/>
            <w:tcBorders>
              <w:top w:val="nil"/>
              <w:left w:val="nil"/>
              <w:bottom w:val="nil"/>
              <w:right w:val="nil"/>
            </w:tcBorders>
            <w:shd w:val="clear" w:color="auto" w:fill="auto"/>
            <w:vAlign w:val="bottom"/>
            <w:hideMark/>
          </w:tcPr>
          <w:p w:rsidR="007763BB" w:rsidRPr="007763BB" w:rsidRDefault="007763BB" w:rsidP="007763BB">
            <w:pPr>
              <w:spacing w:after="0"/>
              <w:rPr>
                <w:rFonts w:ascii="Arial" w:hAnsi="Arial" w:cs="Arial"/>
                <w:b/>
                <w:bCs/>
                <w:color w:val="auto"/>
                <w:sz w:val="16"/>
                <w:szCs w:val="16"/>
              </w:rPr>
            </w:pPr>
            <w:r w:rsidRPr="007763BB">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(264)</w:t>
            </w:r>
          </w:p>
        </w:tc>
        <w:tc>
          <w:tcPr>
            <w:tcW w:w="900" w:type="dxa"/>
            <w:tcBorders>
              <w:top w:val="nil"/>
              <w:left w:val="nil"/>
              <w:bottom w:val="single" w:sz="4" w:space="0" w:color="auto"/>
              <w:right w:val="nil"/>
            </w:tcBorders>
            <w:shd w:val="clear" w:color="000000" w:fill="D9D9D9"/>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(290)</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(286)</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(276)</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(186)</w:t>
            </w:r>
          </w:p>
        </w:tc>
      </w:tr>
      <w:tr w:rsidR="007763BB" w:rsidRPr="007763BB" w:rsidTr="007763BB">
        <w:trPr>
          <w:trHeight w:val="300"/>
          <w:jc w:val="center"/>
        </w:trPr>
        <w:tc>
          <w:tcPr>
            <w:tcW w:w="2860" w:type="dxa"/>
            <w:tcBorders>
              <w:top w:val="nil"/>
              <w:left w:val="nil"/>
              <w:bottom w:val="nil"/>
              <w:right w:val="nil"/>
            </w:tcBorders>
            <w:shd w:val="clear" w:color="auto" w:fill="auto"/>
            <w:tcMar>
              <w:right w:w="0" w:type="dxa"/>
            </w:tcMar>
            <w:vAlign w:val="bottom"/>
            <w:hideMark/>
          </w:tcPr>
          <w:p w:rsidR="007763BB" w:rsidRPr="007763BB" w:rsidRDefault="007763BB" w:rsidP="007763BB">
            <w:pPr>
              <w:spacing w:after="0"/>
              <w:rPr>
                <w:rFonts w:ascii="Arial" w:hAnsi="Arial" w:cs="Arial"/>
                <w:b/>
                <w:bCs/>
                <w:color w:val="auto"/>
                <w:sz w:val="16"/>
                <w:szCs w:val="16"/>
              </w:rPr>
            </w:pPr>
            <w:r w:rsidRPr="007763BB">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Times New Roman" w:hAnsi="Times New Roman"/>
                <w:color w:val="auto"/>
              </w:rPr>
            </w:pPr>
          </w:p>
        </w:tc>
      </w:tr>
      <w:tr w:rsidR="007763BB" w:rsidRPr="007763BB" w:rsidTr="00340D73">
        <w:trPr>
          <w:trHeight w:val="397"/>
          <w:jc w:val="center"/>
        </w:trPr>
        <w:tc>
          <w:tcPr>
            <w:tcW w:w="2860" w:type="dxa"/>
            <w:tcBorders>
              <w:top w:val="nil"/>
              <w:left w:val="nil"/>
              <w:bottom w:val="nil"/>
              <w:right w:val="nil"/>
            </w:tcBorders>
            <w:shd w:val="clear" w:color="auto" w:fill="auto"/>
            <w:vAlign w:val="bottom"/>
            <w:hideMark/>
          </w:tcPr>
          <w:p w:rsidR="007763BB" w:rsidRPr="007763BB" w:rsidRDefault="007763BB" w:rsidP="006659AB">
            <w:pPr>
              <w:spacing w:after="0"/>
              <w:ind w:leftChars="75" w:left="150"/>
              <w:rPr>
                <w:rFonts w:ascii="Arial" w:hAnsi="Arial" w:cs="Arial"/>
                <w:color w:val="auto"/>
                <w:sz w:val="16"/>
                <w:szCs w:val="16"/>
              </w:rPr>
            </w:pPr>
            <w:r w:rsidRPr="007763BB">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rsidR="007763BB" w:rsidRPr="006659AB" w:rsidRDefault="007763BB" w:rsidP="007763BB">
            <w:pPr>
              <w:spacing w:after="0"/>
              <w:jc w:val="right"/>
              <w:rPr>
                <w:rFonts w:ascii="Arial" w:hAnsi="Arial" w:cs="Arial"/>
                <w:bCs/>
                <w:color w:val="auto"/>
                <w:sz w:val="16"/>
                <w:szCs w:val="16"/>
              </w:rPr>
            </w:pPr>
            <w:r w:rsidRPr="006659AB">
              <w:rPr>
                <w:rFonts w:ascii="Arial" w:hAnsi="Arial" w:cs="Arial"/>
                <w:bCs/>
                <w:color w:val="auto"/>
                <w:sz w:val="16"/>
                <w:szCs w:val="16"/>
              </w:rPr>
              <w:t>-</w:t>
            </w:r>
          </w:p>
        </w:tc>
        <w:tc>
          <w:tcPr>
            <w:tcW w:w="900" w:type="dxa"/>
            <w:tcBorders>
              <w:top w:val="nil"/>
              <w:left w:val="nil"/>
              <w:bottom w:val="nil"/>
              <w:right w:val="nil"/>
            </w:tcBorders>
            <w:shd w:val="clear" w:color="auto" w:fill="auto"/>
            <w:noWrap/>
            <w:vAlign w:val="bottom"/>
            <w:hideMark/>
          </w:tcPr>
          <w:p w:rsidR="007763BB" w:rsidRPr="006659AB" w:rsidRDefault="007763BB" w:rsidP="007763BB">
            <w:pPr>
              <w:spacing w:after="0"/>
              <w:jc w:val="right"/>
              <w:rPr>
                <w:rFonts w:ascii="Arial" w:hAnsi="Arial" w:cs="Arial"/>
                <w:color w:val="auto"/>
                <w:sz w:val="16"/>
                <w:szCs w:val="16"/>
              </w:rPr>
            </w:pPr>
            <w:r w:rsidRPr="006659A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w:t>
            </w:r>
          </w:p>
        </w:tc>
      </w:tr>
      <w:tr w:rsidR="007763BB" w:rsidRPr="007763BB" w:rsidTr="00340D73">
        <w:trPr>
          <w:trHeight w:val="454"/>
          <w:jc w:val="center"/>
        </w:trPr>
        <w:tc>
          <w:tcPr>
            <w:tcW w:w="2860" w:type="dxa"/>
            <w:tcBorders>
              <w:top w:val="nil"/>
              <w:left w:val="nil"/>
              <w:bottom w:val="nil"/>
              <w:right w:val="nil"/>
            </w:tcBorders>
            <w:shd w:val="clear" w:color="auto" w:fill="auto"/>
            <w:vAlign w:val="bottom"/>
            <w:hideMark/>
          </w:tcPr>
          <w:p w:rsidR="007763BB" w:rsidRPr="007763BB" w:rsidRDefault="007763BB" w:rsidP="006659AB">
            <w:pPr>
              <w:spacing w:after="0"/>
              <w:ind w:leftChars="75" w:left="150"/>
              <w:rPr>
                <w:rFonts w:ascii="Arial" w:hAnsi="Arial" w:cs="Arial"/>
                <w:b/>
                <w:bCs/>
                <w:color w:val="auto"/>
                <w:sz w:val="16"/>
                <w:szCs w:val="16"/>
              </w:rPr>
            </w:pPr>
            <w:r w:rsidRPr="007763BB">
              <w:rPr>
                <w:rFonts w:ascii="Arial" w:hAnsi="Arial" w:cs="Arial"/>
                <w:b/>
                <w:bCs/>
                <w:color w:val="auto"/>
                <w:sz w:val="16"/>
                <w:szCs w:val="16"/>
              </w:rPr>
              <w:t>Total other comprehensive income</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w:t>
            </w:r>
          </w:p>
        </w:tc>
      </w:tr>
      <w:tr w:rsidR="007763BB" w:rsidRPr="007763BB" w:rsidTr="00340D73">
        <w:trPr>
          <w:trHeight w:val="595"/>
          <w:jc w:val="center"/>
        </w:trPr>
        <w:tc>
          <w:tcPr>
            <w:tcW w:w="2860" w:type="dxa"/>
            <w:tcBorders>
              <w:top w:val="nil"/>
              <w:left w:val="nil"/>
              <w:bottom w:val="single" w:sz="4" w:space="0" w:color="auto"/>
              <w:right w:val="nil"/>
            </w:tcBorders>
            <w:shd w:val="clear" w:color="auto" w:fill="auto"/>
            <w:vAlign w:val="bottom"/>
            <w:hideMark/>
          </w:tcPr>
          <w:p w:rsidR="007763BB" w:rsidRPr="007763BB" w:rsidRDefault="007763BB" w:rsidP="007763BB">
            <w:pPr>
              <w:spacing w:after="0"/>
              <w:rPr>
                <w:rFonts w:ascii="Arial" w:hAnsi="Arial" w:cs="Arial"/>
                <w:b/>
                <w:bCs/>
                <w:color w:val="auto"/>
                <w:sz w:val="16"/>
                <w:szCs w:val="16"/>
              </w:rPr>
            </w:pPr>
            <w:r w:rsidRPr="007763BB">
              <w:rPr>
                <w:rFonts w:ascii="Arial" w:hAnsi="Arial" w:cs="Arial"/>
                <w:b/>
                <w:bCs/>
                <w:color w:val="auto"/>
                <w:sz w:val="16"/>
                <w:szCs w:val="16"/>
              </w:rPr>
              <w:t>Total other comprehensive income attributable to the Australian Government</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(264)</w:t>
            </w:r>
          </w:p>
        </w:tc>
        <w:tc>
          <w:tcPr>
            <w:tcW w:w="900" w:type="dxa"/>
            <w:tcBorders>
              <w:top w:val="nil"/>
              <w:left w:val="nil"/>
              <w:bottom w:val="single" w:sz="4" w:space="0" w:color="auto"/>
              <w:right w:val="nil"/>
            </w:tcBorders>
            <w:shd w:val="clear" w:color="000000" w:fill="D9D9D9"/>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(290)</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(286)</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(276)</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(186)</w:t>
            </w:r>
          </w:p>
        </w:tc>
      </w:tr>
    </w:tbl>
    <w:p w:rsidR="007763BB" w:rsidRPr="007763BB" w:rsidRDefault="007763BB" w:rsidP="007763BB">
      <w:pPr>
        <w:spacing w:before="120" w:after="0"/>
        <w:rPr>
          <w:rFonts w:ascii="Arial" w:hAnsi="Arial" w:cs="Arial"/>
          <w:b/>
          <w:bCs/>
          <w:sz w:val="16"/>
          <w:szCs w:val="16"/>
        </w:rPr>
      </w:pPr>
      <w:r w:rsidRPr="007763BB">
        <w:rPr>
          <w:rFonts w:ascii="Arial" w:hAnsi="Arial" w:cs="Arial"/>
          <w:b/>
          <w:bCs/>
          <w:sz w:val="16"/>
          <w:szCs w:val="16"/>
        </w:rPr>
        <w:t>Note: Reconciliation of comprehensive income attributable to the agency</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7763BB" w:rsidRPr="007763BB" w:rsidTr="00340D73">
        <w:trPr>
          <w:trHeight w:val="340"/>
          <w:jc w:val="center"/>
        </w:trPr>
        <w:tc>
          <w:tcPr>
            <w:tcW w:w="2860" w:type="dxa"/>
            <w:tcBorders>
              <w:top w:val="single" w:sz="4" w:space="0" w:color="auto"/>
              <w:left w:val="nil"/>
              <w:bottom w:val="nil"/>
              <w:right w:val="nil"/>
            </w:tcBorders>
            <w:shd w:val="clear" w:color="auto" w:fill="auto"/>
            <w:hideMark/>
          </w:tcPr>
          <w:p w:rsidR="007763BB" w:rsidRPr="007763BB" w:rsidRDefault="007763BB" w:rsidP="007763BB">
            <w:pPr>
              <w:spacing w:before="40" w:after="0"/>
              <w:jc w:val="right"/>
              <w:rPr>
                <w:rFonts w:ascii="Times New Roman" w:hAnsi="Times New Roman"/>
                <w:color w:val="auto"/>
                <w:sz w:val="24"/>
                <w:szCs w:val="24"/>
              </w:rPr>
            </w:pPr>
          </w:p>
        </w:tc>
        <w:tc>
          <w:tcPr>
            <w:tcW w:w="900" w:type="dxa"/>
            <w:tcBorders>
              <w:top w:val="single" w:sz="4" w:space="0" w:color="auto"/>
              <w:left w:val="nil"/>
              <w:bottom w:val="single" w:sz="4" w:space="0" w:color="auto"/>
              <w:right w:val="nil"/>
            </w:tcBorders>
            <w:shd w:val="clear" w:color="auto" w:fill="auto"/>
            <w:hideMark/>
          </w:tcPr>
          <w:p w:rsidR="007763BB" w:rsidRPr="007763BB" w:rsidRDefault="007763BB" w:rsidP="007763BB">
            <w:pPr>
              <w:spacing w:before="40" w:after="0"/>
              <w:jc w:val="right"/>
              <w:rPr>
                <w:rFonts w:ascii="Arial" w:hAnsi="Arial" w:cs="Arial"/>
                <w:b/>
                <w:bCs/>
                <w:color w:val="auto"/>
                <w:sz w:val="16"/>
                <w:szCs w:val="16"/>
              </w:rPr>
            </w:pPr>
            <w:r w:rsidRPr="007763BB">
              <w:rPr>
                <w:rFonts w:ascii="Arial" w:hAnsi="Arial" w:cs="Arial"/>
                <w:b/>
                <w:bCs/>
                <w:color w:val="auto"/>
                <w:sz w:val="16"/>
                <w:szCs w:val="16"/>
              </w:rPr>
              <w:t xml:space="preserve">2018-19 </w:t>
            </w:r>
            <w:r w:rsidRPr="007763BB">
              <w:rPr>
                <w:rFonts w:ascii="Arial" w:hAnsi="Arial" w:cs="Arial"/>
                <w:b/>
                <w:bCs/>
                <w:color w:val="auto"/>
                <w:sz w:val="16"/>
                <w:szCs w:val="16"/>
              </w:rPr>
              <w:br/>
            </w:r>
            <w:r w:rsidRPr="007763BB">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hideMark/>
          </w:tcPr>
          <w:p w:rsidR="007763BB" w:rsidRPr="007763BB" w:rsidRDefault="007763BB" w:rsidP="007763BB">
            <w:pPr>
              <w:spacing w:before="40" w:after="0"/>
              <w:jc w:val="right"/>
              <w:rPr>
                <w:rFonts w:ascii="Arial" w:hAnsi="Arial" w:cs="Arial"/>
                <w:b/>
                <w:bCs/>
                <w:color w:val="auto"/>
                <w:sz w:val="16"/>
                <w:szCs w:val="16"/>
              </w:rPr>
            </w:pPr>
            <w:r w:rsidRPr="007763BB">
              <w:rPr>
                <w:rFonts w:ascii="Arial" w:hAnsi="Arial" w:cs="Arial"/>
                <w:b/>
                <w:bCs/>
                <w:color w:val="auto"/>
                <w:sz w:val="16"/>
                <w:szCs w:val="16"/>
              </w:rPr>
              <w:t xml:space="preserve">2019-20 </w:t>
            </w:r>
            <w:r w:rsidRPr="007763BB">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rsidR="007763BB" w:rsidRPr="007763BB" w:rsidRDefault="007763BB" w:rsidP="007763BB">
            <w:pPr>
              <w:spacing w:before="40" w:after="0"/>
              <w:jc w:val="right"/>
              <w:rPr>
                <w:rFonts w:ascii="Arial" w:hAnsi="Arial" w:cs="Arial"/>
                <w:b/>
                <w:bCs/>
                <w:color w:val="auto"/>
                <w:sz w:val="16"/>
                <w:szCs w:val="16"/>
              </w:rPr>
            </w:pPr>
            <w:r w:rsidRPr="007763BB">
              <w:rPr>
                <w:rFonts w:ascii="Arial" w:hAnsi="Arial" w:cs="Arial"/>
                <w:b/>
                <w:bCs/>
                <w:color w:val="auto"/>
                <w:sz w:val="16"/>
                <w:szCs w:val="16"/>
              </w:rPr>
              <w:t>2020-21</w:t>
            </w:r>
            <w:r w:rsidRPr="007763BB">
              <w:rPr>
                <w:rFonts w:ascii="Arial" w:hAnsi="Arial" w:cs="Arial"/>
                <w:color w:val="auto"/>
                <w:sz w:val="16"/>
                <w:szCs w:val="16"/>
              </w:rPr>
              <w:t xml:space="preserve"> $'000</w:t>
            </w:r>
          </w:p>
        </w:tc>
        <w:tc>
          <w:tcPr>
            <w:tcW w:w="900" w:type="dxa"/>
            <w:tcBorders>
              <w:top w:val="single" w:sz="4" w:space="0" w:color="auto"/>
              <w:left w:val="nil"/>
              <w:bottom w:val="single" w:sz="4" w:space="0" w:color="auto"/>
              <w:right w:val="nil"/>
            </w:tcBorders>
            <w:shd w:val="clear" w:color="auto" w:fill="auto"/>
            <w:hideMark/>
          </w:tcPr>
          <w:p w:rsidR="007763BB" w:rsidRPr="007763BB" w:rsidRDefault="007763BB" w:rsidP="007763BB">
            <w:pPr>
              <w:spacing w:before="40" w:after="0"/>
              <w:jc w:val="right"/>
              <w:rPr>
                <w:rFonts w:ascii="Arial" w:hAnsi="Arial" w:cs="Arial"/>
                <w:b/>
                <w:bCs/>
                <w:color w:val="auto"/>
                <w:sz w:val="16"/>
                <w:szCs w:val="16"/>
              </w:rPr>
            </w:pPr>
            <w:r w:rsidRPr="007763BB">
              <w:rPr>
                <w:rFonts w:ascii="Arial" w:hAnsi="Arial" w:cs="Arial"/>
                <w:b/>
                <w:bCs/>
                <w:color w:val="auto"/>
                <w:sz w:val="16"/>
                <w:szCs w:val="16"/>
              </w:rPr>
              <w:t xml:space="preserve">2021-22 </w:t>
            </w:r>
            <w:r w:rsidRPr="007763BB">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rsidR="007763BB" w:rsidRPr="007763BB" w:rsidRDefault="007763BB" w:rsidP="007763BB">
            <w:pPr>
              <w:spacing w:before="40" w:after="0"/>
              <w:jc w:val="right"/>
              <w:rPr>
                <w:rFonts w:ascii="Arial" w:hAnsi="Arial" w:cs="Arial"/>
                <w:b/>
                <w:bCs/>
                <w:color w:val="auto"/>
                <w:sz w:val="16"/>
                <w:szCs w:val="16"/>
              </w:rPr>
            </w:pPr>
            <w:r w:rsidRPr="007763BB">
              <w:rPr>
                <w:rFonts w:ascii="Arial" w:hAnsi="Arial" w:cs="Arial"/>
                <w:b/>
                <w:bCs/>
                <w:color w:val="auto"/>
                <w:sz w:val="16"/>
                <w:szCs w:val="16"/>
              </w:rPr>
              <w:t xml:space="preserve">2022-23 </w:t>
            </w:r>
            <w:r w:rsidRPr="007763BB">
              <w:rPr>
                <w:rFonts w:ascii="Arial" w:hAnsi="Arial" w:cs="Arial"/>
                <w:color w:val="auto"/>
                <w:sz w:val="16"/>
                <w:szCs w:val="16"/>
              </w:rPr>
              <w:t>$'000</w:t>
            </w:r>
          </w:p>
        </w:tc>
      </w:tr>
      <w:tr w:rsidR="007763BB" w:rsidRPr="007763BB" w:rsidTr="00340D73">
        <w:trPr>
          <w:trHeight w:val="595"/>
          <w:jc w:val="center"/>
        </w:trPr>
        <w:tc>
          <w:tcPr>
            <w:tcW w:w="2860" w:type="dxa"/>
            <w:tcBorders>
              <w:top w:val="nil"/>
              <w:left w:val="nil"/>
              <w:bottom w:val="nil"/>
              <w:right w:val="nil"/>
            </w:tcBorders>
            <w:shd w:val="clear" w:color="auto" w:fill="auto"/>
            <w:vAlign w:val="bottom"/>
            <w:hideMark/>
          </w:tcPr>
          <w:p w:rsidR="007763BB" w:rsidRPr="007763BB" w:rsidRDefault="007763BB" w:rsidP="007763BB">
            <w:pPr>
              <w:spacing w:after="0"/>
              <w:rPr>
                <w:rFonts w:ascii="Arial" w:hAnsi="Arial" w:cs="Arial"/>
                <w:b/>
                <w:bCs/>
                <w:color w:val="auto"/>
                <w:sz w:val="16"/>
                <w:szCs w:val="16"/>
              </w:rPr>
            </w:pPr>
            <w:r w:rsidRPr="007763BB">
              <w:rPr>
                <w:rFonts w:ascii="Arial" w:hAnsi="Arial" w:cs="Arial"/>
                <w:b/>
                <w:bCs/>
                <w:color w:val="auto"/>
                <w:sz w:val="16"/>
                <w:szCs w:val="16"/>
              </w:rPr>
              <w:t>Total comprehensive income</w:t>
            </w:r>
            <w:r w:rsidR="00811023">
              <w:rPr>
                <w:rFonts w:ascii="Arial" w:hAnsi="Arial" w:cs="Arial"/>
                <w:b/>
                <w:bCs/>
                <w:color w:val="auto"/>
                <w:sz w:val="16"/>
                <w:szCs w:val="16"/>
              </w:rPr>
              <w:t xml:space="preserve"> </w:t>
            </w:r>
            <w:r w:rsidRPr="007763BB">
              <w:rPr>
                <w:rFonts w:ascii="Arial" w:hAnsi="Arial" w:cs="Arial"/>
                <w:b/>
                <w:bCs/>
                <w:color w:val="auto"/>
                <w:sz w:val="16"/>
                <w:szCs w:val="16"/>
              </w:rPr>
              <w:t>(loss) attributable to the Australian Government</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sz w:val="16"/>
                <w:szCs w:val="16"/>
              </w:rPr>
            </w:pPr>
            <w:r w:rsidRPr="007763BB">
              <w:rPr>
                <w:rFonts w:ascii="Arial" w:hAnsi="Arial" w:cs="Arial"/>
                <w:sz w:val="16"/>
                <w:szCs w:val="16"/>
              </w:rPr>
              <w:t>(264)</w:t>
            </w:r>
          </w:p>
        </w:tc>
        <w:tc>
          <w:tcPr>
            <w:tcW w:w="900" w:type="dxa"/>
            <w:tcBorders>
              <w:top w:val="nil"/>
              <w:left w:val="nil"/>
              <w:bottom w:val="nil"/>
              <w:right w:val="nil"/>
            </w:tcBorders>
            <w:shd w:val="clear" w:color="000000" w:fill="D9D9D9"/>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(290)</w:t>
            </w:r>
          </w:p>
        </w:tc>
        <w:tc>
          <w:tcPr>
            <w:tcW w:w="900" w:type="dxa"/>
            <w:tcBorders>
              <w:top w:val="nil"/>
              <w:left w:val="nil"/>
              <w:bottom w:val="nil"/>
              <w:right w:val="nil"/>
            </w:tcBorders>
            <w:shd w:val="clear" w:color="auto" w:fill="auto"/>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(286)</w:t>
            </w:r>
          </w:p>
        </w:tc>
        <w:tc>
          <w:tcPr>
            <w:tcW w:w="900" w:type="dxa"/>
            <w:tcBorders>
              <w:top w:val="nil"/>
              <w:left w:val="nil"/>
              <w:bottom w:val="nil"/>
              <w:right w:val="nil"/>
            </w:tcBorders>
            <w:shd w:val="clear" w:color="auto" w:fill="auto"/>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(276)</w:t>
            </w:r>
          </w:p>
        </w:tc>
        <w:tc>
          <w:tcPr>
            <w:tcW w:w="900" w:type="dxa"/>
            <w:tcBorders>
              <w:top w:val="nil"/>
              <w:left w:val="nil"/>
              <w:bottom w:val="nil"/>
              <w:right w:val="nil"/>
            </w:tcBorders>
            <w:shd w:val="clear" w:color="auto" w:fill="auto"/>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(186)</w:t>
            </w:r>
          </w:p>
        </w:tc>
      </w:tr>
      <w:tr w:rsidR="007763BB" w:rsidRPr="007763BB" w:rsidTr="006659AB">
        <w:trPr>
          <w:trHeight w:val="624"/>
          <w:jc w:val="center"/>
        </w:trPr>
        <w:tc>
          <w:tcPr>
            <w:tcW w:w="2860" w:type="dxa"/>
            <w:tcBorders>
              <w:top w:val="nil"/>
              <w:left w:val="nil"/>
              <w:bottom w:val="nil"/>
              <w:right w:val="nil"/>
            </w:tcBorders>
            <w:shd w:val="clear" w:color="auto" w:fill="auto"/>
            <w:vAlign w:val="bottom"/>
            <w:hideMark/>
          </w:tcPr>
          <w:p w:rsidR="007763BB" w:rsidRPr="007763BB" w:rsidRDefault="006659AB" w:rsidP="00340D73">
            <w:pPr>
              <w:spacing w:after="0"/>
              <w:ind w:leftChars="75" w:left="150"/>
              <w:rPr>
                <w:rFonts w:ascii="Arial" w:hAnsi="Arial" w:cs="Arial"/>
                <w:sz w:val="16"/>
                <w:szCs w:val="16"/>
              </w:rPr>
            </w:pPr>
            <w:r w:rsidRPr="007763BB">
              <w:rPr>
                <w:rFonts w:ascii="Arial" w:hAnsi="Arial" w:cs="Arial"/>
                <w:sz w:val="16"/>
                <w:szCs w:val="16"/>
              </w:rPr>
              <w:t xml:space="preserve">plus non-appropriated expenses </w:t>
            </w:r>
            <w:r w:rsidR="007763BB" w:rsidRPr="007763BB">
              <w:rPr>
                <w:rFonts w:ascii="Arial" w:hAnsi="Arial" w:cs="Arial"/>
                <w:sz w:val="16"/>
                <w:szCs w:val="16"/>
              </w:rPr>
              <w:t>depreciation and amortisation expenses</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264</w:t>
            </w:r>
          </w:p>
        </w:tc>
        <w:tc>
          <w:tcPr>
            <w:tcW w:w="900" w:type="dxa"/>
            <w:tcBorders>
              <w:top w:val="nil"/>
              <w:left w:val="nil"/>
              <w:bottom w:val="nil"/>
              <w:right w:val="nil"/>
            </w:tcBorders>
            <w:shd w:val="clear" w:color="000000" w:fill="D9D9D9"/>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290</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286</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276</w:t>
            </w:r>
          </w:p>
        </w:tc>
        <w:tc>
          <w:tcPr>
            <w:tcW w:w="900" w:type="dxa"/>
            <w:tcBorders>
              <w:top w:val="nil"/>
              <w:left w:val="nil"/>
              <w:bottom w:val="nil"/>
              <w:right w:val="nil"/>
            </w:tcBorders>
            <w:shd w:val="clear" w:color="auto" w:fill="auto"/>
            <w:noWrap/>
            <w:vAlign w:val="bottom"/>
            <w:hideMark/>
          </w:tcPr>
          <w:p w:rsidR="007763BB" w:rsidRPr="007763BB" w:rsidRDefault="007763BB" w:rsidP="007763BB">
            <w:pPr>
              <w:spacing w:after="0"/>
              <w:jc w:val="right"/>
              <w:rPr>
                <w:rFonts w:ascii="Arial" w:hAnsi="Arial" w:cs="Arial"/>
                <w:color w:val="auto"/>
                <w:sz w:val="16"/>
                <w:szCs w:val="16"/>
              </w:rPr>
            </w:pPr>
            <w:r w:rsidRPr="007763BB">
              <w:rPr>
                <w:rFonts w:ascii="Arial" w:hAnsi="Arial" w:cs="Arial"/>
                <w:color w:val="auto"/>
                <w:sz w:val="16"/>
                <w:szCs w:val="16"/>
              </w:rPr>
              <w:t>186</w:t>
            </w:r>
          </w:p>
        </w:tc>
      </w:tr>
      <w:tr w:rsidR="007763BB" w:rsidRPr="007763BB" w:rsidTr="00340D73">
        <w:trPr>
          <w:trHeight w:val="425"/>
          <w:jc w:val="center"/>
        </w:trPr>
        <w:tc>
          <w:tcPr>
            <w:tcW w:w="2860" w:type="dxa"/>
            <w:tcBorders>
              <w:top w:val="nil"/>
              <w:left w:val="nil"/>
              <w:bottom w:val="single" w:sz="4" w:space="0" w:color="auto"/>
              <w:right w:val="nil"/>
            </w:tcBorders>
            <w:shd w:val="clear" w:color="auto" w:fill="auto"/>
            <w:vAlign w:val="bottom"/>
            <w:hideMark/>
          </w:tcPr>
          <w:p w:rsidR="007763BB" w:rsidRPr="007763BB" w:rsidRDefault="007763BB" w:rsidP="007763BB">
            <w:pPr>
              <w:spacing w:after="0"/>
              <w:rPr>
                <w:rFonts w:ascii="Arial" w:hAnsi="Arial" w:cs="Arial"/>
                <w:b/>
                <w:bCs/>
                <w:color w:val="auto"/>
                <w:sz w:val="16"/>
                <w:szCs w:val="16"/>
              </w:rPr>
            </w:pPr>
            <w:r w:rsidRPr="007763BB">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rsidR="007763BB" w:rsidRPr="007763BB" w:rsidRDefault="007763BB" w:rsidP="007763BB">
            <w:pPr>
              <w:spacing w:after="0"/>
              <w:jc w:val="right"/>
              <w:rPr>
                <w:rFonts w:ascii="Arial" w:hAnsi="Arial" w:cs="Arial"/>
                <w:b/>
                <w:bCs/>
                <w:color w:val="auto"/>
                <w:sz w:val="16"/>
                <w:szCs w:val="16"/>
              </w:rPr>
            </w:pPr>
            <w:r w:rsidRPr="007763BB">
              <w:rPr>
                <w:rFonts w:ascii="Arial" w:hAnsi="Arial" w:cs="Arial"/>
                <w:b/>
                <w:bCs/>
                <w:color w:val="auto"/>
                <w:sz w:val="16"/>
                <w:szCs w:val="16"/>
              </w:rPr>
              <w:t>-</w:t>
            </w:r>
          </w:p>
        </w:tc>
      </w:tr>
    </w:tbl>
    <w:p w:rsidR="00234523" w:rsidRPr="00340D73" w:rsidRDefault="00234523">
      <w:pPr>
        <w:spacing w:after="0"/>
        <w:rPr>
          <w:rFonts w:ascii="Arial" w:hAnsi="Arial" w:cs="Arial"/>
          <w:b/>
          <w:sz w:val="12"/>
          <w:szCs w:val="18"/>
          <w:lang w:eastAsia="en-US"/>
        </w:rPr>
      </w:pPr>
      <w:r>
        <w:br w:type="page"/>
      </w:r>
    </w:p>
    <w:p w:rsidR="002308D2" w:rsidRPr="003C3DD3" w:rsidRDefault="00456383" w:rsidP="006318A3">
      <w:pPr>
        <w:pStyle w:val="Tablenumberandreference"/>
      </w:pPr>
      <w:r w:rsidRPr="003C3DD3">
        <w:t>Table 3.2: Budgeted Departmental Balance Sheet (as at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340D73" w:rsidRPr="00340D73" w:rsidTr="00340D73">
        <w:trPr>
          <w:trHeight w:val="765"/>
          <w:jc w:val="center"/>
        </w:trPr>
        <w:tc>
          <w:tcPr>
            <w:tcW w:w="2860" w:type="dxa"/>
            <w:tcBorders>
              <w:top w:val="single" w:sz="4" w:space="0" w:color="auto"/>
              <w:left w:val="nil"/>
              <w:bottom w:val="nil"/>
              <w:right w:val="nil"/>
            </w:tcBorders>
            <w:shd w:val="clear" w:color="auto" w:fill="auto"/>
            <w:hideMark/>
          </w:tcPr>
          <w:p w:rsidR="00340D73" w:rsidRPr="00340D73" w:rsidRDefault="00340D73" w:rsidP="00340D73">
            <w:pPr>
              <w:spacing w:before="40" w:after="0"/>
              <w:jc w:val="right"/>
              <w:rPr>
                <w:rFonts w:ascii="Times New Roman" w:hAnsi="Times New Roman"/>
                <w:color w:val="auto"/>
                <w:sz w:val="24"/>
                <w:szCs w:val="24"/>
              </w:rPr>
            </w:pPr>
          </w:p>
        </w:tc>
        <w:tc>
          <w:tcPr>
            <w:tcW w:w="900" w:type="dxa"/>
            <w:tcBorders>
              <w:top w:val="single" w:sz="4" w:space="0" w:color="auto"/>
              <w:left w:val="nil"/>
              <w:bottom w:val="single" w:sz="4" w:space="0" w:color="auto"/>
              <w:right w:val="nil"/>
            </w:tcBorders>
            <w:shd w:val="clear" w:color="auto" w:fill="auto"/>
            <w:tcMar>
              <w:left w:w="0" w:type="dxa"/>
            </w:tcMar>
            <w:hideMark/>
          </w:tcPr>
          <w:p w:rsidR="00340D73" w:rsidRPr="00340D73" w:rsidRDefault="00340D73" w:rsidP="00340D73">
            <w:pPr>
              <w:spacing w:before="40" w:after="0"/>
              <w:jc w:val="right"/>
              <w:rPr>
                <w:rFonts w:ascii="Arial" w:hAnsi="Arial" w:cs="Arial"/>
                <w:b/>
                <w:bCs/>
                <w:color w:val="auto"/>
                <w:sz w:val="16"/>
                <w:szCs w:val="16"/>
              </w:rPr>
            </w:pPr>
            <w:r w:rsidRPr="00340D73">
              <w:rPr>
                <w:rFonts w:ascii="Arial" w:hAnsi="Arial" w:cs="Arial"/>
                <w:b/>
                <w:bCs/>
                <w:color w:val="auto"/>
                <w:sz w:val="16"/>
                <w:szCs w:val="16"/>
              </w:rPr>
              <w:t>2018-19 Estimated actual</w:t>
            </w:r>
            <w:r w:rsidRPr="00340D73">
              <w:rPr>
                <w:rFonts w:ascii="Arial" w:hAnsi="Arial" w:cs="Arial"/>
                <w:b/>
                <w:bCs/>
                <w:color w:val="auto"/>
                <w:sz w:val="16"/>
                <w:szCs w:val="16"/>
              </w:rPr>
              <w:br/>
            </w:r>
            <w:r w:rsidRPr="00340D7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hideMark/>
          </w:tcPr>
          <w:p w:rsidR="00340D73" w:rsidRPr="00340D73" w:rsidRDefault="00340D73" w:rsidP="00340D73">
            <w:pPr>
              <w:spacing w:before="40" w:after="0"/>
              <w:jc w:val="right"/>
              <w:rPr>
                <w:rFonts w:ascii="Arial" w:hAnsi="Arial" w:cs="Arial"/>
                <w:b/>
                <w:bCs/>
                <w:color w:val="auto"/>
                <w:sz w:val="16"/>
                <w:szCs w:val="16"/>
              </w:rPr>
            </w:pPr>
            <w:r w:rsidRPr="00340D73">
              <w:rPr>
                <w:rFonts w:ascii="Arial" w:hAnsi="Arial" w:cs="Arial"/>
                <w:b/>
                <w:bCs/>
                <w:color w:val="auto"/>
                <w:sz w:val="16"/>
                <w:szCs w:val="16"/>
              </w:rPr>
              <w:t xml:space="preserve">2019-20 Budget </w:t>
            </w:r>
            <w:r w:rsidRPr="00340D73">
              <w:rPr>
                <w:rFonts w:ascii="Arial" w:hAnsi="Arial" w:cs="Arial"/>
                <w:b/>
                <w:bCs/>
                <w:color w:val="auto"/>
                <w:sz w:val="16"/>
                <w:szCs w:val="16"/>
              </w:rPr>
              <w:br/>
            </w:r>
            <w:r w:rsidRPr="00340D73">
              <w:rPr>
                <w:rFonts w:ascii="Arial" w:hAnsi="Arial" w:cs="Arial"/>
                <w:b/>
                <w:bCs/>
                <w:color w:val="auto"/>
                <w:sz w:val="16"/>
                <w:szCs w:val="16"/>
              </w:rPr>
              <w:br/>
            </w:r>
            <w:r w:rsidRPr="00340D7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rsidR="00340D73" w:rsidRPr="00340D73" w:rsidRDefault="00340D73" w:rsidP="00340D73">
            <w:pPr>
              <w:spacing w:before="40" w:after="0"/>
              <w:jc w:val="right"/>
              <w:rPr>
                <w:rFonts w:ascii="Arial" w:hAnsi="Arial" w:cs="Arial"/>
                <w:b/>
                <w:bCs/>
                <w:color w:val="auto"/>
                <w:sz w:val="16"/>
                <w:szCs w:val="16"/>
              </w:rPr>
            </w:pPr>
            <w:r w:rsidRPr="00340D73">
              <w:rPr>
                <w:rFonts w:ascii="Arial" w:hAnsi="Arial" w:cs="Arial"/>
                <w:b/>
                <w:bCs/>
                <w:color w:val="auto"/>
                <w:sz w:val="16"/>
                <w:szCs w:val="16"/>
              </w:rPr>
              <w:t>2020-21 Forward estimate</w:t>
            </w:r>
            <w:r w:rsidRPr="00340D73">
              <w:rPr>
                <w:rFonts w:ascii="Arial" w:hAnsi="Arial" w:cs="Arial"/>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rsidR="00340D73" w:rsidRPr="00340D73" w:rsidRDefault="00340D73" w:rsidP="00340D73">
            <w:pPr>
              <w:spacing w:before="40" w:after="0"/>
              <w:jc w:val="right"/>
              <w:rPr>
                <w:rFonts w:ascii="Arial" w:hAnsi="Arial" w:cs="Arial"/>
                <w:b/>
                <w:bCs/>
                <w:color w:val="auto"/>
                <w:sz w:val="16"/>
                <w:szCs w:val="16"/>
              </w:rPr>
            </w:pPr>
            <w:r w:rsidRPr="00340D73">
              <w:rPr>
                <w:rFonts w:ascii="Arial" w:hAnsi="Arial" w:cs="Arial"/>
                <w:b/>
                <w:bCs/>
                <w:color w:val="auto"/>
                <w:sz w:val="16"/>
                <w:szCs w:val="16"/>
              </w:rPr>
              <w:t>2021-22 Forward estimate</w:t>
            </w:r>
            <w:r w:rsidRPr="00340D73">
              <w:rPr>
                <w:rFonts w:ascii="Arial" w:hAnsi="Arial" w:cs="Arial"/>
                <w:b/>
                <w:bCs/>
                <w:color w:val="auto"/>
                <w:sz w:val="16"/>
                <w:szCs w:val="16"/>
              </w:rPr>
              <w:br/>
            </w:r>
            <w:r w:rsidRPr="00340D7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rsidR="00340D73" w:rsidRPr="00340D73" w:rsidRDefault="00340D73" w:rsidP="00340D73">
            <w:pPr>
              <w:spacing w:before="40" w:after="0"/>
              <w:jc w:val="right"/>
              <w:rPr>
                <w:rFonts w:ascii="Arial" w:hAnsi="Arial" w:cs="Arial"/>
                <w:b/>
                <w:bCs/>
                <w:color w:val="auto"/>
                <w:sz w:val="16"/>
                <w:szCs w:val="16"/>
              </w:rPr>
            </w:pPr>
            <w:r w:rsidRPr="00340D73">
              <w:rPr>
                <w:rFonts w:ascii="Arial" w:hAnsi="Arial" w:cs="Arial"/>
                <w:b/>
                <w:bCs/>
                <w:color w:val="auto"/>
                <w:sz w:val="16"/>
                <w:szCs w:val="16"/>
              </w:rPr>
              <w:t>2022-23 Forward estimate</w:t>
            </w:r>
            <w:r w:rsidRPr="00340D73">
              <w:rPr>
                <w:rFonts w:ascii="Arial" w:hAnsi="Arial" w:cs="Arial"/>
                <w:b/>
                <w:bCs/>
                <w:color w:val="auto"/>
                <w:sz w:val="16"/>
                <w:szCs w:val="16"/>
              </w:rPr>
              <w:br/>
            </w:r>
            <w:r w:rsidRPr="00340D73">
              <w:rPr>
                <w:rFonts w:ascii="Arial" w:hAnsi="Arial" w:cs="Arial"/>
                <w:color w:val="auto"/>
                <w:sz w:val="16"/>
                <w:szCs w:val="16"/>
              </w:rPr>
              <w:t>$'000</w:t>
            </w:r>
          </w:p>
        </w:tc>
      </w:tr>
      <w:tr w:rsidR="00340D73" w:rsidRPr="00340D73" w:rsidTr="00340D73">
        <w:trPr>
          <w:trHeight w:val="283"/>
          <w:jc w:val="center"/>
        </w:trPr>
        <w:tc>
          <w:tcPr>
            <w:tcW w:w="2860" w:type="dxa"/>
            <w:tcBorders>
              <w:top w:val="nil"/>
              <w:left w:val="nil"/>
              <w:bottom w:val="nil"/>
              <w:right w:val="nil"/>
            </w:tcBorders>
            <w:shd w:val="clear" w:color="auto" w:fill="auto"/>
            <w:noWrap/>
            <w:vAlign w:val="bottom"/>
            <w:hideMark/>
          </w:tcPr>
          <w:p w:rsidR="00340D73" w:rsidRPr="00340D73" w:rsidRDefault="00340D73" w:rsidP="00340D73">
            <w:pPr>
              <w:spacing w:after="0"/>
              <w:rPr>
                <w:rFonts w:ascii="Arial" w:hAnsi="Arial" w:cs="Arial"/>
                <w:b/>
                <w:bCs/>
                <w:sz w:val="16"/>
                <w:szCs w:val="16"/>
              </w:rPr>
            </w:pPr>
            <w:r w:rsidRPr="00340D73">
              <w:rPr>
                <w:rFonts w:ascii="Arial" w:hAnsi="Arial" w:cs="Arial"/>
                <w:b/>
                <w:bCs/>
                <w:sz w:val="16"/>
                <w:szCs w:val="16"/>
              </w:rPr>
              <w:t>ASSETS</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Times New Roman" w:hAnsi="Times New Roman"/>
                <w:color w:val="auto"/>
              </w:rPr>
            </w:pPr>
          </w:p>
        </w:tc>
      </w:tr>
      <w:tr w:rsidR="00340D73" w:rsidRPr="00340D73" w:rsidTr="00340D73">
        <w:trPr>
          <w:trHeight w:val="225"/>
          <w:jc w:val="center"/>
        </w:trPr>
        <w:tc>
          <w:tcPr>
            <w:tcW w:w="2860" w:type="dxa"/>
            <w:tcBorders>
              <w:top w:val="nil"/>
              <w:left w:val="nil"/>
              <w:bottom w:val="nil"/>
              <w:right w:val="nil"/>
            </w:tcBorders>
            <w:shd w:val="clear" w:color="auto" w:fill="auto"/>
            <w:noWrap/>
            <w:vAlign w:val="bottom"/>
            <w:hideMark/>
          </w:tcPr>
          <w:p w:rsidR="00340D73" w:rsidRPr="00340D73" w:rsidRDefault="00340D73" w:rsidP="001B17A0">
            <w:pPr>
              <w:spacing w:after="0"/>
              <w:ind w:firstLineChars="100" w:firstLine="160"/>
              <w:rPr>
                <w:rFonts w:ascii="Arial" w:hAnsi="Arial" w:cs="Arial"/>
                <w:b/>
                <w:bCs/>
                <w:sz w:val="16"/>
                <w:szCs w:val="16"/>
              </w:rPr>
            </w:pPr>
            <w:r w:rsidRPr="00340D73">
              <w:rPr>
                <w:rFonts w:ascii="Arial" w:hAnsi="Arial" w:cs="Arial"/>
                <w:b/>
                <w:bCs/>
                <w:sz w:val="16"/>
                <w:szCs w:val="16"/>
              </w:rPr>
              <w:t>Financial assets</w:t>
            </w:r>
          </w:p>
        </w:tc>
        <w:tc>
          <w:tcPr>
            <w:tcW w:w="900" w:type="dxa"/>
            <w:tcBorders>
              <w:top w:val="nil"/>
              <w:left w:val="nil"/>
              <w:bottom w:val="nil"/>
              <w:right w:val="nil"/>
            </w:tcBorders>
            <w:shd w:val="clear" w:color="auto" w:fill="auto"/>
            <w:noWrap/>
            <w:vAlign w:val="bottom"/>
            <w:hideMark/>
          </w:tcPr>
          <w:p w:rsidR="00340D73" w:rsidRPr="00340D73" w:rsidRDefault="00340D73" w:rsidP="001B17A0">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Times New Roman" w:hAnsi="Times New Roman"/>
                <w:color w:val="auto"/>
              </w:rPr>
            </w:pPr>
          </w:p>
        </w:tc>
      </w:tr>
      <w:tr w:rsidR="00340D73" w:rsidRPr="00340D73" w:rsidTr="00340D73">
        <w:trPr>
          <w:trHeight w:val="225"/>
          <w:jc w:val="center"/>
        </w:trPr>
        <w:tc>
          <w:tcPr>
            <w:tcW w:w="2860" w:type="dxa"/>
            <w:tcBorders>
              <w:top w:val="nil"/>
              <w:left w:val="nil"/>
              <w:bottom w:val="nil"/>
              <w:right w:val="nil"/>
            </w:tcBorders>
            <w:shd w:val="clear" w:color="auto" w:fill="auto"/>
            <w:noWrap/>
            <w:vAlign w:val="bottom"/>
            <w:hideMark/>
          </w:tcPr>
          <w:p w:rsidR="00340D73" w:rsidRPr="00340D73" w:rsidRDefault="00340D73" w:rsidP="00340D73">
            <w:pPr>
              <w:spacing w:after="0"/>
              <w:ind w:firstLineChars="200" w:firstLine="320"/>
              <w:rPr>
                <w:rFonts w:ascii="Arial" w:hAnsi="Arial" w:cs="Arial"/>
                <w:sz w:val="16"/>
                <w:szCs w:val="16"/>
              </w:rPr>
            </w:pPr>
            <w:r w:rsidRPr="00340D73">
              <w:rPr>
                <w:rFonts w:ascii="Arial" w:hAnsi="Arial" w:cs="Arial"/>
                <w:sz w:val="16"/>
                <w:szCs w:val="16"/>
              </w:rPr>
              <w:t>Cash and cash equivalents</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80</w:t>
            </w:r>
          </w:p>
        </w:tc>
        <w:tc>
          <w:tcPr>
            <w:tcW w:w="900" w:type="dxa"/>
            <w:tcBorders>
              <w:top w:val="nil"/>
              <w:left w:val="nil"/>
              <w:bottom w:val="nil"/>
              <w:right w:val="nil"/>
            </w:tcBorders>
            <w:shd w:val="clear" w:color="000000" w:fill="D9D9D9"/>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80</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80</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80</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80</w:t>
            </w:r>
          </w:p>
        </w:tc>
      </w:tr>
      <w:tr w:rsidR="00340D73" w:rsidRPr="00340D73" w:rsidTr="00340D73">
        <w:trPr>
          <w:trHeight w:val="225"/>
          <w:jc w:val="center"/>
        </w:trPr>
        <w:tc>
          <w:tcPr>
            <w:tcW w:w="2860" w:type="dxa"/>
            <w:tcBorders>
              <w:top w:val="nil"/>
              <w:left w:val="nil"/>
              <w:bottom w:val="nil"/>
              <w:right w:val="nil"/>
            </w:tcBorders>
            <w:shd w:val="clear" w:color="auto" w:fill="auto"/>
            <w:noWrap/>
            <w:vAlign w:val="bottom"/>
            <w:hideMark/>
          </w:tcPr>
          <w:p w:rsidR="00340D73" w:rsidRPr="00340D73" w:rsidRDefault="00340D73" w:rsidP="00340D73">
            <w:pPr>
              <w:spacing w:after="0"/>
              <w:ind w:firstLineChars="200" w:firstLine="320"/>
              <w:rPr>
                <w:rFonts w:ascii="Arial" w:hAnsi="Arial" w:cs="Arial"/>
                <w:sz w:val="16"/>
                <w:szCs w:val="16"/>
              </w:rPr>
            </w:pPr>
            <w:r w:rsidRPr="00340D73">
              <w:rPr>
                <w:rFonts w:ascii="Arial" w:hAnsi="Arial" w:cs="Arial"/>
                <w:sz w:val="16"/>
                <w:szCs w:val="16"/>
              </w:rPr>
              <w:t>Receivables</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2,245</w:t>
            </w:r>
          </w:p>
        </w:tc>
        <w:tc>
          <w:tcPr>
            <w:tcW w:w="900" w:type="dxa"/>
            <w:tcBorders>
              <w:top w:val="nil"/>
              <w:left w:val="nil"/>
              <w:bottom w:val="nil"/>
              <w:right w:val="nil"/>
            </w:tcBorders>
            <w:shd w:val="clear" w:color="000000" w:fill="D9D9D9"/>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2,318</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2,322</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2,323</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2,344</w:t>
            </w:r>
          </w:p>
        </w:tc>
      </w:tr>
      <w:tr w:rsidR="00340D73" w:rsidRPr="00340D73" w:rsidTr="00340D73">
        <w:trPr>
          <w:trHeight w:val="225"/>
          <w:jc w:val="center"/>
        </w:trPr>
        <w:tc>
          <w:tcPr>
            <w:tcW w:w="2860" w:type="dxa"/>
            <w:tcBorders>
              <w:top w:val="nil"/>
              <w:left w:val="nil"/>
              <w:bottom w:val="nil"/>
              <w:right w:val="nil"/>
            </w:tcBorders>
            <w:shd w:val="clear" w:color="auto" w:fill="auto"/>
            <w:noWrap/>
            <w:vAlign w:val="bottom"/>
            <w:hideMark/>
          </w:tcPr>
          <w:p w:rsidR="00340D73" w:rsidRPr="00340D73" w:rsidRDefault="00340D73" w:rsidP="001B17A0">
            <w:pPr>
              <w:spacing w:after="0"/>
              <w:ind w:firstLineChars="200" w:firstLine="320"/>
              <w:rPr>
                <w:rFonts w:ascii="Arial" w:hAnsi="Arial" w:cs="Arial"/>
                <w:b/>
                <w:bCs/>
                <w:sz w:val="16"/>
                <w:szCs w:val="16"/>
              </w:rPr>
            </w:pPr>
            <w:r w:rsidRPr="00340D73">
              <w:rPr>
                <w:rFonts w:ascii="Arial" w:hAnsi="Arial" w:cs="Arial"/>
                <w:b/>
                <w:bCs/>
                <w:sz w:val="16"/>
                <w:szCs w:val="16"/>
              </w:rPr>
              <w:t>Total financial assets</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2,325</w:t>
            </w:r>
          </w:p>
        </w:tc>
        <w:tc>
          <w:tcPr>
            <w:tcW w:w="900" w:type="dxa"/>
            <w:tcBorders>
              <w:top w:val="nil"/>
              <w:left w:val="nil"/>
              <w:bottom w:val="single" w:sz="4" w:space="0" w:color="auto"/>
              <w:right w:val="nil"/>
            </w:tcBorders>
            <w:shd w:val="clear" w:color="000000" w:fill="D9D9D9"/>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2,398</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2,402</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2,403</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2,424</w:t>
            </w:r>
          </w:p>
        </w:tc>
      </w:tr>
      <w:tr w:rsidR="00340D73" w:rsidRPr="00340D73" w:rsidTr="00340D73">
        <w:trPr>
          <w:trHeight w:val="300"/>
          <w:jc w:val="center"/>
        </w:trPr>
        <w:tc>
          <w:tcPr>
            <w:tcW w:w="2860" w:type="dxa"/>
            <w:tcBorders>
              <w:top w:val="nil"/>
              <w:left w:val="nil"/>
              <w:bottom w:val="nil"/>
              <w:right w:val="nil"/>
            </w:tcBorders>
            <w:shd w:val="clear" w:color="auto" w:fill="auto"/>
            <w:noWrap/>
            <w:vAlign w:val="bottom"/>
            <w:hideMark/>
          </w:tcPr>
          <w:p w:rsidR="00340D73" w:rsidRPr="00340D73" w:rsidRDefault="00340D73" w:rsidP="001B17A0">
            <w:pPr>
              <w:spacing w:after="0"/>
              <w:ind w:firstLineChars="100" w:firstLine="160"/>
              <w:rPr>
                <w:rFonts w:ascii="Arial" w:hAnsi="Arial" w:cs="Arial"/>
                <w:b/>
                <w:bCs/>
                <w:sz w:val="16"/>
                <w:szCs w:val="16"/>
              </w:rPr>
            </w:pPr>
            <w:r w:rsidRPr="00340D73">
              <w:rPr>
                <w:rFonts w:ascii="Arial" w:hAnsi="Arial" w:cs="Arial"/>
                <w:b/>
                <w:bCs/>
                <w:sz w:val="16"/>
                <w:szCs w:val="16"/>
              </w:rPr>
              <w:t>Non-financial assets</w:t>
            </w:r>
          </w:p>
        </w:tc>
        <w:tc>
          <w:tcPr>
            <w:tcW w:w="900" w:type="dxa"/>
            <w:tcBorders>
              <w:top w:val="nil"/>
              <w:left w:val="nil"/>
              <w:bottom w:val="nil"/>
              <w:right w:val="nil"/>
            </w:tcBorders>
            <w:shd w:val="clear" w:color="auto" w:fill="auto"/>
            <w:noWrap/>
            <w:vAlign w:val="bottom"/>
            <w:hideMark/>
          </w:tcPr>
          <w:p w:rsidR="00340D73" w:rsidRPr="00340D73" w:rsidRDefault="00340D73" w:rsidP="001B17A0">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Times New Roman" w:hAnsi="Times New Roman"/>
                <w:color w:val="auto"/>
              </w:rPr>
            </w:pPr>
          </w:p>
        </w:tc>
      </w:tr>
      <w:tr w:rsidR="00340D73" w:rsidRPr="00340D73" w:rsidTr="00340D73">
        <w:trPr>
          <w:trHeight w:val="225"/>
          <w:jc w:val="center"/>
        </w:trPr>
        <w:tc>
          <w:tcPr>
            <w:tcW w:w="2860" w:type="dxa"/>
            <w:tcBorders>
              <w:top w:val="nil"/>
              <w:left w:val="nil"/>
              <w:bottom w:val="nil"/>
              <w:right w:val="nil"/>
            </w:tcBorders>
            <w:shd w:val="clear" w:color="auto" w:fill="auto"/>
            <w:noWrap/>
            <w:vAlign w:val="bottom"/>
            <w:hideMark/>
          </w:tcPr>
          <w:p w:rsidR="00340D73" w:rsidRPr="00340D73" w:rsidRDefault="00340D73" w:rsidP="00340D73">
            <w:pPr>
              <w:spacing w:after="0"/>
              <w:ind w:firstLineChars="200" w:firstLine="320"/>
              <w:rPr>
                <w:rFonts w:ascii="Arial" w:hAnsi="Arial" w:cs="Arial"/>
                <w:sz w:val="16"/>
                <w:szCs w:val="16"/>
              </w:rPr>
            </w:pPr>
            <w:r w:rsidRPr="00340D73">
              <w:rPr>
                <w:rFonts w:ascii="Arial" w:hAnsi="Arial" w:cs="Arial"/>
                <w:sz w:val="16"/>
                <w:szCs w:val="16"/>
              </w:rPr>
              <w:t>Land and buildings</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388</w:t>
            </w:r>
          </w:p>
        </w:tc>
        <w:tc>
          <w:tcPr>
            <w:tcW w:w="900" w:type="dxa"/>
            <w:tcBorders>
              <w:top w:val="nil"/>
              <w:left w:val="nil"/>
              <w:bottom w:val="nil"/>
              <w:right w:val="nil"/>
            </w:tcBorders>
            <w:shd w:val="clear" w:color="000000" w:fill="D9D9D9"/>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286</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165</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144</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152</w:t>
            </w:r>
          </w:p>
        </w:tc>
      </w:tr>
      <w:tr w:rsidR="00340D73" w:rsidRPr="00340D73" w:rsidTr="00340D73">
        <w:trPr>
          <w:trHeight w:val="225"/>
          <w:jc w:val="center"/>
        </w:trPr>
        <w:tc>
          <w:tcPr>
            <w:tcW w:w="2860" w:type="dxa"/>
            <w:tcBorders>
              <w:top w:val="nil"/>
              <w:left w:val="nil"/>
              <w:bottom w:val="nil"/>
              <w:right w:val="nil"/>
            </w:tcBorders>
            <w:shd w:val="clear" w:color="auto" w:fill="auto"/>
            <w:noWrap/>
            <w:vAlign w:val="bottom"/>
            <w:hideMark/>
          </w:tcPr>
          <w:p w:rsidR="00340D73" w:rsidRPr="00340D73" w:rsidRDefault="00340D73" w:rsidP="00340D73">
            <w:pPr>
              <w:spacing w:after="0"/>
              <w:ind w:firstLineChars="200" w:firstLine="320"/>
              <w:rPr>
                <w:rFonts w:ascii="Arial" w:hAnsi="Arial" w:cs="Arial"/>
                <w:sz w:val="16"/>
                <w:szCs w:val="16"/>
              </w:rPr>
            </w:pPr>
            <w:r w:rsidRPr="00340D73">
              <w:rPr>
                <w:rFonts w:ascii="Arial" w:hAnsi="Arial" w:cs="Arial"/>
                <w:sz w:val="16"/>
                <w:szCs w:val="16"/>
              </w:rPr>
              <w:t>Property, plant and equipment</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347</w:t>
            </w:r>
          </w:p>
        </w:tc>
        <w:tc>
          <w:tcPr>
            <w:tcW w:w="900" w:type="dxa"/>
            <w:tcBorders>
              <w:top w:val="nil"/>
              <w:left w:val="nil"/>
              <w:bottom w:val="nil"/>
              <w:right w:val="nil"/>
            </w:tcBorders>
            <w:shd w:val="clear" w:color="000000" w:fill="D9D9D9"/>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285</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307</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232</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199</w:t>
            </w:r>
          </w:p>
        </w:tc>
      </w:tr>
      <w:tr w:rsidR="00340D73" w:rsidRPr="00340D73" w:rsidTr="00340D73">
        <w:trPr>
          <w:trHeight w:val="225"/>
          <w:jc w:val="center"/>
        </w:trPr>
        <w:tc>
          <w:tcPr>
            <w:tcW w:w="2860" w:type="dxa"/>
            <w:tcBorders>
              <w:top w:val="nil"/>
              <w:left w:val="nil"/>
              <w:bottom w:val="nil"/>
              <w:right w:val="nil"/>
            </w:tcBorders>
            <w:shd w:val="clear" w:color="auto" w:fill="auto"/>
            <w:noWrap/>
            <w:vAlign w:val="bottom"/>
            <w:hideMark/>
          </w:tcPr>
          <w:p w:rsidR="00340D73" w:rsidRPr="00340D73" w:rsidRDefault="00340D73" w:rsidP="00340D73">
            <w:pPr>
              <w:spacing w:after="0"/>
              <w:ind w:firstLineChars="200" w:firstLine="320"/>
              <w:rPr>
                <w:rFonts w:ascii="Arial" w:hAnsi="Arial" w:cs="Arial"/>
                <w:sz w:val="16"/>
                <w:szCs w:val="16"/>
              </w:rPr>
            </w:pPr>
            <w:r w:rsidRPr="00340D73">
              <w:rPr>
                <w:rFonts w:ascii="Arial" w:hAnsi="Arial" w:cs="Arial"/>
                <w:sz w:val="16"/>
                <w:szCs w:val="16"/>
              </w:rPr>
              <w:t>Intangibles</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445</w:t>
            </w:r>
          </w:p>
        </w:tc>
        <w:tc>
          <w:tcPr>
            <w:tcW w:w="900" w:type="dxa"/>
            <w:tcBorders>
              <w:top w:val="nil"/>
              <w:left w:val="nil"/>
              <w:bottom w:val="nil"/>
              <w:right w:val="nil"/>
            </w:tcBorders>
            <w:shd w:val="clear" w:color="000000" w:fill="D9D9D9"/>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409</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376</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347</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338</w:t>
            </w:r>
          </w:p>
        </w:tc>
      </w:tr>
      <w:tr w:rsidR="00340D73" w:rsidRPr="00340D73" w:rsidTr="00340D73">
        <w:trPr>
          <w:trHeight w:val="225"/>
          <w:jc w:val="center"/>
        </w:trPr>
        <w:tc>
          <w:tcPr>
            <w:tcW w:w="2860" w:type="dxa"/>
            <w:tcBorders>
              <w:top w:val="nil"/>
              <w:left w:val="nil"/>
              <w:bottom w:val="nil"/>
              <w:right w:val="nil"/>
            </w:tcBorders>
            <w:shd w:val="clear" w:color="auto" w:fill="auto"/>
            <w:noWrap/>
            <w:vAlign w:val="bottom"/>
            <w:hideMark/>
          </w:tcPr>
          <w:p w:rsidR="00340D73" w:rsidRPr="00340D73" w:rsidRDefault="00340D73" w:rsidP="00340D73">
            <w:pPr>
              <w:spacing w:after="0"/>
              <w:ind w:firstLineChars="200" w:firstLine="320"/>
              <w:rPr>
                <w:rFonts w:ascii="Arial" w:hAnsi="Arial" w:cs="Arial"/>
                <w:sz w:val="16"/>
                <w:szCs w:val="16"/>
              </w:rPr>
            </w:pPr>
            <w:r w:rsidRPr="00340D73">
              <w:rPr>
                <w:rFonts w:ascii="Arial" w:hAnsi="Arial" w:cs="Arial"/>
                <w:sz w:val="16"/>
                <w:szCs w:val="16"/>
              </w:rPr>
              <w:t>Other</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45</w:t>
            </w:r>
          </w:p>
        </w:tc>
        <w:tc>
          <w:tcPr>
            <w:tcW w:w="900" w:type="dxa"/>
            <w:tcBorders>
              <w:top w:val="nil"/>
              <w:left w:val="nil"/>
              <w:bottom w:val="nil"/>
              <w:right w:val="nil"/>
            </w:tcBorders>
            <w:shd w:val="clear" w:color="000000" w:fill="D9D9D9"/>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47</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47</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48</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49</w:t>
            </w:r>
          </w:p>
        </w:tc>
      </w:tr>
      <w:tr w:rsidR="00340D73" w:rsidRPr="00340D73" w:rsidTr="00340D73">
        <w:trPr>
          <w:trHeight w:val="225"/>
          <w:jc w:val="center"/>
        </w:trPr>
        <w:tc>
          <w:tcPr>
            <w:tcW w:w="2860" w:type="dxa"/>
            <w:tcBorders>
              <w:top w:val="nil"/>
              <w:left w:val="nil"/>
              <w:bottom w:val="nil"/>
              <w:right w:val="nil"/>
            </w:tcBorders>
            <w:shd w:val="clear" w:color="auto" w:fill="auto"/>
            <w:noWrap/>
            <w:vAlign w:val="bottom"/>
            <w:hideMark/>
          </w:tcPr>
          <w:p w:rsidR="00340D73" w:rsidRPr="00340D73" w:rsidRDefault="00340D73" w:rsidP="001B17A0">
            <w:pPr>
              <w:spacing w:after="0"/>
              <w:ind w:firstLineChars="200" w:firstLine="320"/>
              <w:rPr>
                <w:rFonts w:ascii="Arial" w:hAnsi="Arial" w:cs="Arial"/>
                <w:b/>
                <w:bCs/>
                <w:sz w:val="16"/>
                <w:szCs w:val="16"/>
              </w:rPr>
            </w:pPr>
            <w:r w:rsidRPr="00340D73">
              <w:rPr>
                <w:rFonts w:ascii="Arial" w:hAnsi="Arial" w:cs="Arial"/>
                <w:b/>
                <w:bCs/>
                <w:sz w:val="16"/>
                <w:szCs w:val="16"/>
              </w:rPr>
              <w:t>Total non-financial assets</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1,225</w:t>
            </w:r>
          </w:p>
        </w:tc>
        <w:tc>
          <w:tcPr>
            <w:tcW w:w="900" w:type="dxa"/>
            <w:tcBorders>
              <w:top w:val="nil"/>
              <w:left w:val="nil"/>
              <w:bottom w:val="single" w:sz="4" w:space="0" w:color="auto"/>
              <w:right w:val="nil"/>
            </w:tcBorders>
            <w:shd w:val="clear" w:color="000000" w:fill="D9D9D9"/>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1,027</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895</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771</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738</w:t>
            </w:r>
          </w:p>
        </w:tc>
      </w:tr>
      <w:tr w:rsidR="00340D73" w:rsidRPr="00340D73" w:rsidTr="00340D73">
        <w:trPr>
          <w:trHeight w:val="225"/>
          <w:jc w:val="center"/>
        </w:trPr>
        <w:tc>
          <w:tcPr>
            <w:tcW w:w="2860" w:type="dxa"/>
            <w:tcBorders>
              <w:top w:val="nil"/>
              <w:left w:val="nil"/>
              <w:bottom w:val="nil"/>
              <w:right w:val="nil"/>
            </w:tcBorders>
            <w:shd w:val="clear" w:color="auto" w:fill="auto"/>
            <w:noWrap/>
            <w:vAlign w:val="bottom"/>
            <w:hideMark/>
          </w:tcPr>
          <w:p w:rsidR="00340D73" w:rsidRPr="00340D73" w:rsidRDefault="00340D73" w:rsidP="001B17A0">
            <w:pPr>
              <w:spacing w:after="0"/>
              <w:ind w:firstLineChars="100" w:firstLine="160"/>
              <w:rPr>
                <w:rFonts w:ascii="Arial" w:hAnsi="Arial" w:cs="Arial"/>
                <w:b/>
                <w:bCs/>
                <w:sz w:val="16"/>
                <w:szCs w:val="16"/>
              </w:rPr>
            </w:pPr>
            <w:r w:rsidRPr="00340D73">
              <w:rPr>
                <w:rFonts w:ascii="Arial" w:hAnsi="Arial" w:cs="Arial"/>
                <w:b/>
                <w:bCs/>
                <w:sz w:val="16"/>
                <w:szCs w:val="16"/>
              </w:rPr>
              <w:t>Total assets</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3,550</w:t>
            </w:r>
          </w:p>
        </w:tc>
        <w:tc>
          <w:tcPr>
            <w:tcW w:w="900" w:type="dxa"/>
            <w:tcBorders>
              <w:top w:val="nil"/>
              <w:left w:val="nil"/>
              <w:bottom w:val="single" w:sz="4" w:space="0" w:color="auto"/>
              <w:right w:val="nil"/>
            </w:tcBorders>
            <w:shd w:val="clear" w:color="000000" w:fill="D9D9D9"/>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3,425</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3,297</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3,174</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3,162</w:t>
            </w:r>
          </w:p>
        </w:tc>
      </w:tr>
      <w:tr w:rsidR="00340D73" w:rsidRPr="00340D73" w:rsidTr="00340D73">
        <w:trPr>
          <w:trHeight w:val="283"/>
          <w:jc w:val="center"/>
        </w:trPr>
        <w:tc>
          <w:tcPr>
            <w:tcW w:w="2860" w:type="dxa"/>
            <w:tcBorders>
              <w:top w:val="nil"/>
              <w:left w:val="nil"/>
              <w:bottom w:val="nil"/>
              <w:right w:val="nil"/>
            </w:tcBorders>
            <w:shd w:val="clear" w:color="auto" w:fill="auto"/>
            <w:noWrap/>
            <w:vAlign w:val="bottom"/>
            <w:hideMark/>
          </w:tcPr>
          <w:p w:rsidR="00340D73" w:rsidRPr="00340D73" w:rsidRDefault="00340D73" w:rsidP="00340D73">
            <w:pPr>
              <w:spacing w:after="0"/>
              <w:rPr>
                <w:rFonts w:ascii="Arial" w:hAnsi="Arial" w:cs="Arial"/>
                <w:b/>
                <w:bCs/>
                <w:sz w:val="16"/>
                <w:szCs w:val="16"/>
              </w:rPr>
            </w:pPr>
            <w:r w:rsidRPr="00340D73">
              <w:rPr>
                <w:rFonts w:ascii="Arial" w:hAnsi="Arial" w:cs="Arial"/>
                <w:b/>
                <w:bCs/>
                <w:sz w:val="16"/>
                <w:szCs w:val="16"/>
              </w:rPr>
              <w:t>LIABILITIES</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Times New Roman" w:hAnsi="Times New Roman"/>
                <w:color w:val="auto"/>
              </w:rPr>
            </w:pPr>
          </w:p>
        </w:tc>
      </w:tr>
      <w:tr w:rsidR="00340D73" w:rsidRPr="00340D73" w:rsidTr="00340D73">
        <w:trPr>
          <w:trHeight w:val="225"/>
          <w:jc w:val="center"/>
        </w:trPr>
        <w:tc>
          <w:tcPr>
            <w:tcW w:w="2860" w:type="dxa"/>
            <w:tcBorders>
              <w:top w:val="nil"/>
              <w:left w:val="nil"/>
              <w:bottom w:val="nil"/>
              <w:right w:val="nil"/>
            </w:tcBorders>
            <w:shd w:val="clear" w:color="auto" w:fill="auto"/>
            <w:noWrap/>
            <w:vAlign w:val="bottom"/>
            <w:hideMark/>
          </w:tcPr>
          <w:p w:rsidR="00340D73" w:rsidRPr="00340D73" w:rsidRDefault="00340D73" w:rsidP="001B17A0">
            <w:pPr>
              <w:spacing w:after="0"/>
              <w:ind w:firstLineChars="100" w:firstLine="160"/>
              <w:rPr>
                <w:rFonts w:ascii="Arial" w:hAnsi="Arial" w:cs="Arial"/>
                <w:b/>
                <w:bCs/>
                <w:sz w:val="16"/>
                <w:szCs w:val="16"/>
              </w:rPr>
            </w:pPr>
            <w:r w:rsidRPr="00340D73">
              <w:rPr>
                <w:rFonts w:ascii="Arial" w:hAnsi="Arial" w:cs="Arial"/>
                <w:b/>
                <w:bCs/>
                <w:sz w:val="16"/>
                <w:szCs w:val="16"/>
              </w:rPr>
              <w:t>Payables</w:t>
            </w:r>
          </w:p>
        </w:tc>
        <w:tc>
          <w:tcPr>
            <w:tcW w:w="900" w:type="dxa"/>
            <w:tcBorders>
              <w:top w:val="nil"/>
              <w:left w:val="nil"/>
              <w:bottom w:val="nil"/>
              <w:right w:val="nil"/>
            </w:tcBorders>
            <w:shd w:val="clear" w:color="auto" w:fill="auto"/>
            <w:noWrap/>
            <w:vAlign w:val="bottom"/>
            <w:hideMark/>
          </w:tcPr>
          <w:p w:rsidR="00340D73" w:rsidRPr="00340D73" w:rsidRDefault="00340D73" w:rsidP="001B17A0">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Times New Roman" w:hAnsi="Times New Roman"/>
                <w:color w:val="auto"/>
              </w:rPr>
            </w:pPr>
          </w:p>
        </w:tc>
      </w:tr>
      <w:tr w:rsidR="00340D73" w:rsidRPr="00340D73" w:rsidTr="00340D73">
        <w:trPr>
          <w:trHeight w:val="225"/>
          <w:jc w:val="center"/>
        </w:trPr>
        <w:tc>
          <w:tcPr>
            <w:tcW w:w="2860" w:type="dxa"/>
            <w:tcBorders>
              <w:top w:val="nil"/>
              <w:left w:val="nil"/>
              <w:bottom w:val="nil"/>
              <w:right w:val="nil"/>
            </w:tcBorders>
            <w:shd w:val="clear" w:color="auto" w:fill="auto"/>
            <w:noWrap/>
            <w:vAlign w:val="bottom"/>
            <w:hideMark/>
          </w:tcPr>
          <w:p w:rsidR="00340D73" w:rsidRPr="00340D73" w:rsidRDefault="00340D73" w:rsidP="00340D73">
            <w:pPr>
              <w:spacing w:after="0"/>
              <w:ind w:firstLineChars="200" w:firstLine="320"/>
              <w:rPr>
                <w:rFonts w:ascii="Arial" w:hAnsi="Arial" w:cs="Arial"/>
                <w:sz w:val="16"/>
                <w:szCs w:val="16"/>
              </w:rPr>
            </w:pPr>
            <w:r w:rsidRPr="00340D73">
              <w:rPr>
                <w:rFonts w:ascii="Arial" w:hAnsi="Arial" w:cs="Arial"/>
                <w:sz w:val="16"/>
                <w:szCs w:val="16"/>
              </w:rPr>
              <w:t>Suppliers</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329</w:t>
            </w:r>
          </w:p>
        </w:tc>
        <w:tc>
          <w:tcPr>
            <w:tcW w:w="900" w:type="dxa"/>
            <w:tcBorders>
              <w:top w:val="nil"/>
              <w:left w:val="nil"/>
              <w:bottom w:val="nil"/>
              <w:right w:val="nil"/>
            </w:tcBorders>
            <w:shd w:val="clear" w:color="000000" w:fill="D9D9D9"/>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324</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324</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320</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327</w:t>
            </w:r>
          </w:p>
        </w:tc>
      </w:tr>
      <w:tr w:rsidR="00340D73" w:rsidRPr="00340D73" w:rsidTr="00340D73">
        <w:trPr>
          <w:trHeight w:val="225"/>
          <w:jc w:val="center"/>
        </w:trPr>
        <w:tc>
          <w:tcPr>
            <w:tcW w:w="2860" w:type="dxa"/>
            <w:tcBorders>
              <w:top w:val="nil"/>
              <w:left w:val="nil"/>
              <w:bottom w:val="nil"/>
              <w:right w:val="nil"/>
            </w:tcBorders>
            <w:shd w:val="clear" w:color="auto" w:fill="auto"/>
            <w:noWrap/>
            <w:vAlign w:val="bottom"/>
            <w:hideMark/>
          </w:tcPr>
          <w:p w:rsidR="00340D73" w:rsidRPr="00340D73" w:rsidRDefault="00340D73" w:rsidP="00340D73">
            <w:pPr>
              <w:spacing w:after="0"/>
              <w:ind w:firstLineChars="200" w:firstLine="320"/>
              <w:rPr>
                <w:rFonts w:ascii="Arial" w:hAnsi="Arial" w:cs="Arial"/>
                <w:sz w:val="16"/>
                <w:szCs w:val="16"/>
              </w:rPr>
            </w:pPr>
            <w:r w:rsidRPr="00340D73">
              <w:rPr>
                <w:rFonts w:ascii="Arial" w:hAnsi="Arial" w:cs="Arial"/>
                <w:sz w:val="16"/>
                <w:szCs w:val="16"/>
              </w:rPr>
              <w:t>Other payables</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134</w:t>
            </w:r>
          </w:p>
        </w:tc>
        <w:tc>
          <w:tcPr>
            <w:tcW w:w="900" w:type="dxa"/>
            <w:tcBorders>
              <w:top w:val="nil"/>
              <w:left w:val="nil"/>
              <w:bottom w:val="nil"/>
              <w:right w:val="nil"/>
            </w:tcBorders>
            <w:shd w:val="clear" w:color="000000" w:fill="D9D9D9"/>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143</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136</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126</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139</w:t>
            </w:r>
          </w:p>
        </w:tc>
      </w:tr>
      <w:tr w:rsidR="00340D73" w:rsidRPr="00340D73" w:rsidTr="00340D73">
        <w:trPr>
          <w:trHeight w:val="225"/>
          <w:jc w:val="center"/>
        </w:trPr>
        <w:tc>
          <w:tcPr>
            <w:tcW w:w="2860" w:type="dxa"/>
            <w:tcBorders>
              <w:top w:val="nil"/>
              <w:left w:val="nil"/>
              <w:bottom w:val="nil"/>
              <w:right w:val="nil"/>
            </w:tcBorders>
            <w:shd w:val="clear" w:color="auto" w:fill="auto"/>
            <w:noWrap/>
            <w:vAlign w:val="bottom"/>
            <w:hideMark/>
          </w:tcPr>
          <w:p w:rsidR="00340D73" w:rsidRPr="00340D73" w:rsidRDefault="00340D73" w:rsidP="001B17A0">
            <w:pPr>
              <w:spacing w:after="0"/>
              <w:ind w:firstLineChars="200" w:firstLine="320"/>
              <w:rPr>
                <w:rFonts w:ascii="Arial" w:hAnsi="Arial" w:cs="Arial"/>
                <w:b/>
                <w:bCs/>
                <w:sz w:val="16"/>
                <w:szCs w:val="16"/>
              </w:rPr>
            </w:pPr>
            <w:r w:rsidRPr="00340D73">
              <w:rPr>
                <w:rFonts w:ascii="Arial" w:hAnsi="Arial" w:cs="Arial"/>
                <w:b/>
                <w:bCs/>
                <w:sz w:val="16"/>
                <w:szCs w:val="16"/>
              </w:rPr>
              <w:t>Total payables</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463</w:t>
            </w:r>
          </w:p>
        </w:tc>
        <w:tc>
          <w:tcPr>
            <w:tcW w:w="900" w:type="dxa"/>
            <w:tcBorders>
              <w:top w:val="nil"/>
              <w:left w:val="nil"/>
              <w:bottom w:val="single" w:sz="4" w:space="0" w:color="auto"/>
              <w:right w:val="nil"/>
            </w:tcBorders>
            <w:shd w:val="clear" w:color="000000" w:fill="D9D9D9"/>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467</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460</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446</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466</w:t>
            </w:r>
          </w:p>
        </w:tc>
      </w:tr>
      <w:tr w:rsidR="00340D73" w:rsidRPr="00340D73" w:rsidTr="00340D73">
        <w:trPr>
          <w:trHeight w:val="300"/>
          <w:jc w:val="center"/>
        </w:trPr>
        <w:tc>
          <w:tcPr>
            <w:tcW w:w="2860" w:type="dxa"/>
            <w:tcBorders>
              <w:top w:val="nil"/>
              <w:left w:val="nil"/>
              <w:bottom w:val="nil"/>
              <w:right w:val="nil"/>
            </w:tcBorders>
            <w:shd w:val="clear" w:color="auto" w:fill="auto"/>
            <w:noWrap/>
            <w:vAlign w:val="bottom"/>
            <w:hideMark/>
          </w:tcPr>
          <w:p w:rsidR="00340D73" w:rsidRPr="00340D73" w:rsidRDefault="00340D73" w:rsidP="001B17A0">
            <w:pPr>
              <w:spacing w:after="0"/>
              <w:ind w:firstLineChars="100" w:firstLine="160"/>
              <w:rPr>
                <w:rFonts w:ascii="Arial" w:hAnsi="Arial" w:cs="Arial"/>
                <w:b/>
                <w:bCs/>
                <w:sz w:val="16"/>
                <w:szCs w:val="16"/>
              </w:rPr>
            </w:pPr>
            <w:r w:rsidRPr="00340D73">
              <w:rPr>
                <w:rFonts w:ascii="Arial" w:hAnsi="Arial" w:cs="Arial"/>
                <w:b/>
                <w:bCs/>
                <w:sz w:val="16"/>
                <w:szCs w:val="16"/>
              </w:rPr>
              <w:t>Provisions</w:t>
            </w:r>
          </w:p>
        </w:tc>
        <w:tc>
          <w:tcPr>
            <w:tcW w:w="900" w:type="dxa"/>
            <w:tcBorders>
              <w:top w:val="nil"/>
              <w:left w:val="nil"/>
              <w:bottom w:val="nil"/>
              <w:right w:val="nil"/>
            </w:tcBorders>
            <w:shd w:val="clear" w:color="auto" w:fill="auto"/>
            <w:noWrap/>
            <w:vAlign w:val="bottom"/>
            <w:hideMark/>
          </w:tcPr>
          <w:p w:rsidR="00340D73" w:rsidRPr="00340D73" w:rsidRDefault="00340D73" w:rsidP="001B17A0">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Times New Roman" w:hAnsi="Times New Roman"/>
                <w:color w:val="auto"/>
              </w:rPr>
            </w:pPr>
          </w:p>
        </w:tc>
      </w:tr>
      <w:tr w:rsidR="00340D73" w:rsidRPr="00340D73" w:rsidTr="00340D73">
        <w:trPr>
          <w:trHeight w:val="225"/>
          <w:jc w:val="center"/>
        </w:trPr>
        <w:tc>
          <w:tcPr>
            <w:tcW w:w="2860" w:type="dxa"/>
            <w:tcBorders>
              <w:top w:val="nil"/>
              <w:left w:val="nil"/>
              <w:bottom w:val="nil"/>
              <w:right w:val="nil"/>
            </w:tcBorders>
            <w:shd w:val="clear" w:color="auto" w:fill="auto"/>
            <w:noWrap/>
            <w:vAlign w:val="bottom"/>
            <w:hideMark/>
          </w:tcPr>
          <w:p w:rsidR="00340D73" w:rsidRPr="00340D73" w:rsidRDefault="00340D73" w:rsidP="00340D73">
            <w:pPr>
              <w:spacing w:after="0"/>
              <w:ind w:firstLineChars="200" w:firstLine="320"/>
              <w:rPr>
                <w:rFonts w:ascii="Arial" w:hAnsi="Arial" w:cs="Arial"/>
                <w:sz w:val="16"/>
                <w:szCs w:val="16"/>
              </w:rPr>
            </w:pPr>
            <w:r w:rsidRPr="00340D73">
              <w:rPr>
                <w:rFonts w:ascii="Arial" w:hAnsi="Arial" w:cs="Arial"/>
                <w:sz w:val="16"/>
                <w:szCs w:val="16"/>
              </w:rPr>
              <w:t>Employees</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721</w:t>
            </w:r>
          </w:p>
        </w:tc>
        <w:tc>
          <w:tcPr>
            <w:tcW w:w="900" w:type="dxa"/>
            <w:tcBorders>
              <w:top w:val="nil"/>
              <w:left w:val="nil"/>
              <w:bottom w:val="nil"/>
              <w:right w:val="nil"/>
            </w:tcBorders>
            <w:shd w:val="clear" w:color="000000" w:fill="D9D9D9"/>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850</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864</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878</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878</w:t>
            </w:r>
          </w:p>
        </w:tc>
      </w:tr>
      <w:tr w:rsidR="00340D73" w:rsidRPr="00340D73" w:rsidTr="00340D73">
        <w:trPr>
          <w:trHeight w:val="225"/>
          <w:jc w:val="center"/>
        </w:trPr>
        <w:tc>
          <w:tcPr>
            <w:tcW w:w="2860" w:type="dxa"/>
            <w:tcBorders>
              <w:top w:val="nil"/>
              <w:left w:val="nil"/>
              <w:bottom w:val="nil"/>
              <w:right w:val="nil"/>
            </w:tcBorders>
            <w:shd w:val="clear" w:color="auto" w:fill="auto"/>
            <w:noWrap/>
            <w:vAlign w:val="bottom"/>
            <w:hideMark/>
          </w:tcPr>
          <w:p w:rsidR="00340D73" w:rsidRPr="00340D73" w:rsidRDefault="00340D73" w:rsidP="00340D73">
            <w:pPr>
              <w:spacing w:after="0"/>
              <w:ind w:firstLineChars="200" w:firstLine="320"/>
              <w:rPr>
                <w:rFonts w:ascii="Arial" w:hAnsi="Arial" w:cs="Arial"/>
                <w:sz w:val="16"/>
                <w:szCs w:val="16"/>
              </w:rPr>
            </w:pPr>
            <w:r w:rsidRPr="00340D73">
              <w:rPr>
                <w:rFonts w:ascii="Arial" w:hAnsi="Arial" w:cs="Arial"/>
                <w:sz w:val="16"/>
                <w:szCs w:val="16"/>
              </w:rPr>
              <w:t>Other provisions</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97</w:t>
            </w:r>
          </w:p>
        </w:tc>
        <w:tc>
          <w:tcPr>
            <w:tcW w:w="900" w:type="dxa"/>
            <w:tcBorders>
              <w:top w:val="nil"/>
              <w:left w:val="nil"/>
              <w:bottom w:val="nil"/>
              <w:right w:val="nil"/>
            </w:tcBorders>
            <w:shd w:val="clear" w:color="000000" w:fill="D9D9D9"/>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100</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102</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104</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106</w:t>
            </w:r>
          </w:p>
        </w:tc>
      </w:tr>
      <w:tr w:rsidR="00340D73" w:rsidRPr="00340D73" w:rsidTr="00340D73">
        <w:trPr>
          <w:trHeight w:val="225"/>
          <w:jc w:val="center"/>
        </w:trPr>
        <w:tc>
          <w:tcPr>
            <w:tcW w:w="2860" w:type="dxa"/>
            <w:tcBorders>
              <w:top w:val="nil"/>
              <w:left w:val="nil"/>
              <w:bottom w:val="nil"/>
              <w:right w:val="nil"/>
            </w:tcBorders>
            <w:shd w:val="clear" w:color="auto" w:fill="auto"/>
            <w:noWrap/>
            <w:vAlign w:val="bottom"/>
            <w:hideMark/>
          </w:tcPr>
          <w:p w:rsidR="00340D73" w:rsidRPr="00340D73" w:rsidRDefault="00340D73" w:rsidP="001B17A0">
            <w:pPr>
              <w:spacing w:after="0"/>
              <w:ind w:firstLineChars="200" w:firstLine="320"/>
              <w:rPr>
                <w:rFonts w:ascii="Arial" w:hAnsi="Arial" w:cs="Arial"/>
                <w:b/>
                <w:bCs/>
                <w:sz w:val="16"/>
                <w:szCs w:val="16"/>
              </w:rPr>
            </w:pPr>
            <w:r w:rsidRPr="00340D73">
              <w:rPr>
                <w:rFonts w:ascii="Arial" w:hAnsi="Arial" w:cs="Arial"/>
                <w:b/>
                <w:bCs/>
                <w:sz w:val="16"/>
                <w:szCs w:val="16"/>
              </w:rPr>
              <w:t>Total provisions</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818</w:t>
            </w:r>
          </w:p>
        </w:tc>
        <w:tc>
          <w:tcPr>
            <w:tcW w:w="900" w:type="dxa"/>
            <w:tcBorders>
              <w:top w:val="nil"/>
              <w:left w:val="nil"/>
              <w:bottom w:val="single" w:sz="4" w:space="0" w:color="auto"/>
              <w:right w:val="nil"/>
            </w:tcBorders>
            <w:shd w:val="clear" w:color="000000" w:fill="D9D9D9"/>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950</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966</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982</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984</w:t>
            </w:r>
          </w:p>
        </w:tc>
      </w:tr>
      <w:tr w:rsidR="00340D73" w:rsidRPr="00340D73" w:rsidTr="00340D73">
        <w:trPr>
          <w:trHeight w:val="225"/>
          <w:jc w:val="center"/>
        </w:trPr>
        <w:tc>
          <w:tcPr>
            <w:tcW w:w="2860" w:type="dxa"/>
            <w:tcBorders>
              <w:top w:val="nil"/>
              <w:left w:val="nil"/>
              <w:bottom w:val="nil"/>
              <w:right w:val="nil"/>
            </w:tcBorders>
            <w:shd w:val="clear" w:color="auto" w:fill="auto"/>
            <w:noWrap/>
            <w:vAlign w:val="bottom"/>
            <w:hideMark/>
          </w:tcPr>
          <w:p w:rsidR="00340D73" w:rsidRPr="00340D73" w:rsidRDefault="00340D73" w:rsidP="001B17A0">
            <w:pPr>
              <w:spacing w:after="0"/>
              <w:ind w:firstLineChars="100" w:firstLine="160"/>
              <w:rPr>
                <w:rFonts w:ascii="Arial" w:hAnsi="Arial" w:cs="Arial"/>
                <w:b/>
                <w:bCs/>
                <w:sz w:val="16"/>
                <w:szCs w:val="16"/>
              </w:rPr>
            </w:pPr>
            <w:r w:rsidRPr="00340D73">
              <w:rPr>
                <w:rFonts w:ascii="Arial" w:hAnsi="Arial" w:cs="Arial"/>
                <w:b/>
                <w:bCs/>
                <w:sz w:val="16"/>
                <w:szCs w:val="16"/>
              </w:rPr>
              <w:t>Total liabilities</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1,281</w:t>
            </w:r>
          </w:p>
        </w:tc>
        <w:tc>
          <w:tcPr>
            <w:tcW w:w="900" w:type="dxa"/>
            <w:tcBorders>
              <w:top w:val="nil"/>
              <w:left w:val="nil"/>
              <w:bottom w:val="single" w:sz="4" w:space="0" w:color="auto"/>
              <w:right w:val="nil"/>
            </w:tcBorders>
            <w:shd w:val="clear" w:color="000000" w:fill="D9D9D9"/>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1,417</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1,426</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1,428</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1,450</w:t>
            </w:r>
          </w:p>
        </w:tc>
      </w:tr>
      <w:tr w:rsidR="00340D73" w:rsidRPr="00340D73" w:rsidTr="00340D73">
        <w:trPr>
          <w:trHeight w:val="300"/>
          <w:jc w:val="center"/>
        </w:trPr>
        <w:tc>
          <w:tcPr>
            <w:tcW w:w="2860" w:type="dxa"/>
            <w:tcBorders>
              <w:top w:val="nil"/>
              <w:left w:val="nil"/>
              <w:bottom w:val="nil"/>
              <w:right w:val="nil"/>
            </w:tcBorders>
            <w:shd w:val="clear" w:color="auto" w:fill="auto"/>
            <w:noWrap/>
            <w:vAlign w:val="bottom"/>
            <w:hideMark/>
          </w:tcPr>
          <w:p w:rsidR="00340D73" w:rsidRPr="00340D73" w:rsidRDefault="00340D73" w:rsidP="00340D73">
            <w:pPr>
              <w:spacing w:after="0"/>
              <w:rPr>
                <w:rFonts w:ascii="Arial" w:hAnsi="Arial" w:cs="Arial"/>
                <w:b/>
                <w:bCs/>
                <w:sz w:val="16"/>
                <w:szCs w:val="16"/>
              </w:rPr>
            </w:pPr>
            <w:r w:rsidRPr="00340D73">
              <w:rPr>
                <w:rFonts w:ascii="Arial" w:hAnsi="Arial" w:cs="Arial"/>
                <w:b/>
                <w:bCs/>
                <w:sz w:val="16"/>
                <w:szCs w:val="16"/>
              </w:rPr>
              <w:t>Net assets</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2,269</w:t>
            </w:r>
          </w:p>
        </w:tc>
        <w:tc>
          <w:tcPr>
            <w:tcW w:w="900" w:type="dxa"/>
            <w:tcBorders>
              <w:top w:val="nil"/>
              <w:left w:val="nil"/>
              <w:bottom w:val="single" w:sz="4" w:space="0" w:color="auto"/>
              <w:right w:val="nil"/>
            </w:tcBorders>
            <w:shd w:val="clear" w:color="000000" w:fill="D9D9D9"/>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2,008</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1,871</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1,746</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1,712</w:t>
            </w:r>
          </w:p>
        </w:tc>
      </w:tr>
      <w:tr w:rsidR="00340D73" w:rsidRPr="00340D73" w:rsidTr="00340D73">
        <w:trPr>
          <w:trHeight w:val="283"/>
          <w:jc w:val="center"/>
        </w:trPr>
        <w:tc>
          <w:tcPr>
            <w:tcW w:w="2860" w:type="dxa"/>
            <w:tcBorders>
              <w:top w:val="nil"/>
              <w:left w:val="nil"/>
              <w:bottom w:val="nil"/>
              <w:right w:val="nil"/>
            </w:tcBorders>
            <w:shd w:val="clear" w:color="auto" w:fill="auto"/>
            <w:noWrap/>
            <w:vAlign w:val="bottom"/>
            <w:hideMark/>
          </w:tcPr>
          <w:p w:rsidR="00340D73" w:rsidRPr="00340D73" w:rsidRDefault="00340D73" w:rsidP="00340D73">
            <w:pPr>
              <w:spacing w:after="0"/>
              <w:rPr>
                <w:rFonts w:ascii="Arial" w:hAnsi="Arial" w:cs="Arial"/>
                <w:b/>
                <w:bCs/>
                <w:sz w:val="16"/>
                <w:szCs w:val="16"/>
              </w:rPr>
            </w:pPr>
            <w:r w:rsidRPr="00340D73">
              <w:rPr>
                <w:rFonts w:ascii="Arial" w:hAnsi="Arial" w:cs="Arial"/>
                <w:b/>
                <w:bCs/>
                <w:sz w:val="16"/>
                <w:szCs w:val="16"/>
              </w:rPr>
              <w:t>EQUITY</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Times New Roman" w:hAnsi="Times New Roman"/>
                <w:color w:val="auto"/>
              </w:rPr>
            </w:pPr>
          </w:p>
        </w:tc>
      </w:tr>
      <w:tr w:rsidR="00340D73" w:rsidRPr="00340D73" w:rsidTr="00340D73">
        <w:trPr>
          <w:trHeight w:val="225"/>
          <w:jc w:val="center"/>
        </w:trPr>
        <w:tc>
          <w:tcPr>
            <w:tcW w:w="2860" w:type="dxa"/>
            <w:tcBorders>
              <w:top w:val="nil"/>
              <w:left w:val="nil"/>
              <w:bottom w:val="nil"/>
              <w:right w:val="nil"/>
            </w:tcBorders>
            <w:shd w:val="clear" w:color="auto" w:fill="auto"/>
            <w:noWrap/>
            <w:vAlign w:val="bottom"/>
            <w:hideMark/>
          </w:tcPr>
          <w:p w:rsidR="00340D73" w:rsidRPr="00340D73" w:rsidRDefault="00340D73" w:rsidP="00340D73">
            <w:pPr>
              <w:spacing w:after="0"/>
              <w:ind w:firstLineChars="100" w:firstLine="160"/>
              <w:rPr>
                <w:rFonts w:ascii="Arial" w:hAnsi="Arial" w:cs="Arial"/>
                <w:sz w:val="16"/>
                <w:szCs w:val="16"/>
              </w:rPr>
            </w:pPr>
            <w:r w:rsidRPr="00340D73">
              <w:rPr>
                <w:rFonts w:ascii="Arial" w:hAnsi="Arial" w:cs="Arial"/>
                <w:sz w:val="16"/>
                <w:szCs w:val="16"/>
              </w:rPr>
              <w:t>Contributed equity</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1,613</w:t>
            </w:r>
          </w:p>
        </w:tc>
        <w:tc>
          <w:tcPr>
            <w:tcW w:w="900" w:type="dxa"/>
            <w:tcBorders>
              <w:top w:val="nil"/>
              <w:left w:val="nil"/>
              <w:bottom w:val="nil"/>
              <w:right w:val="nil"/>
            </w:tcBorders>
            <w:shd w:val="clear" w:color="000000" w:fill="D9D9D9"/>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1,642</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1,791</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1,942</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2,094</w:t>
            </w:r>
          </w:p>
        </w:tc>
      </w:tr>
      <w:tr w:rsidR="00340D73" w:rsidRPr="00340D73" w:rsidTr="00340D73">
        <w:trPr>
          <w:trHeight w:val="225"/>
          <w:jc w:val="center"/>
        </w:trPr>
        <w:tc>
          <w:tcPr>
            <w:tcW w:w="2860" w:type="dxa"/>
            <w:tcBorders>
              <w:top w:val="nil"/>
              <w:left w:val="nil"/>
              <w:bottom w:val="nil"/>
              <w:right w:val="nil"/>
            </w:tcBorders>
            <w:shd w:val="clear" w:color="auto" w:fill="auto"/>
            <w:noWrap/>
            <w:vAlign w:val="bottom"/>
            <w:hideMark/>
          </w:tcPr>
          <w:p w:rsidR="00340D73" w:rsidRPr="00340D73" w:rsidRDefault="00340D73" w:rsidP="00340D73">
            <w:pPr>
              <w:spacing w:after="0"/>
              <w:ind w:firstLineChars="100" w:firstLine="160"/>
              <w:rPr>
                <w:rFonts w:ascii="Arial" w:hAnsi="Arial" w:cs="Arial"/>
                <w:sz w:val="16"/>
                <w:szCs w:val="16"/>
              </w:rPr>
            </w:pPr>
            <w:r w:rsidRPr="00340D73">
              <w:rPr>
                <w:rFonts w:ascii="Arial" w:hAnsi="Arial" w:cs="Arial"/>
                <w:sz w:val="16"/>
                <w:szCs w:val="16"/>
              </w:rPr>
              <w:t>Reserves</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831</w:t>
            </w:r>
          </w:p>
        </w:tc>
        <w:tc>
          <w:tcPr>
            <w:tcW w:w="900" w:type="dxa"/>
            <w:tcBorders>
              <w:top w:val="nil"/>
              <w:left w:val="nil"/>
              <w:bottom w:val="nil"/>
              <w:right w:val="nil"/>
            </w:tcBorders>
            <w:shd w:val="clear" w:color="000000" w:fill="D9D9D9"/>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831</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831</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831</w:t>
            </w:r>
          </w:p>
        </w:tc>
        <w:tc>
          <w:tcPr>
            <w:tcW w:w="9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831</w:t>
            </w:r>
          </w:p>
        </w:tc>
      </w:tr>
      <w:tr w:rsidR="00340D73" w:rsidRPr="00340D73" w:rsidTr="0034688D">
        <w:trPr>
          <w:trHeight w:val="397"/>
          <w:jc w:val="center"/>
        </w:trPr>
        <w:tc>
          <w:tcPr>
            <w:tcW w:w="2860" w:type="dxa"/>
            <w:tcBorders>
              <w:top w:val="nil"/>
              <w:left w:val="nil"/>
              <w:bottom w:val="nil"/>
              <w:right w:val="nil"/>
            </w:tcBorders>
            <w:shd w:val="clear" w:color="auto" w:fill="auto"/>
            <w:vAlign w:val="bottom"/>
            <w:hideMark/>
          </w:tcPr>
          <w:p w:rsidR="00340D73" w:rsidRPr="00340D73" w:rsidRDefault="00340D73" w:rsidP="00340D73">
            <w:pPr>
              <w:spacing w:after="0"/>
              <w:ind w:leftChars="75" w:left="150"/>
              <w:rPr>
                <w:rFonts w:ascii="Arial" w:hAnsi="Arial" w:cs="Arial"/>
                <w:sz w:val="16"/>
                <w:szCs w:val="16"/>
              </w:rPr>
            </w:pPr>
            <w:r w:rsidRPr="00340D73">
              <w:rPr>
                <w:rFonts w:ascii="Arial" w:hAnsi="Arial" w:cs="Arial"/>
                <w:sz w:val="16"/>
                <w:szCs w:val="16"/>
              </w:rPr>
              <w:t>Retained surpluses or accumulated deficits</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(175)</w:t>
            </w:r>
          </w:p>
        </w:tc>
        <w:tc>
          <w:tcPr>
            <w:tcW w:w="900" w:type="dxa"/>
            <w:tcBorders>
              <w:top w:val="nil"/>
              <w:left w:val="nil"/>
              <w:bottom w:val="single" w:sz="4" w:space="0" w:color="auto"/>
              <w:right w:val="nil"/>
            </w:tcBorders>
            <w:shd w:val="clear" w:color="000000" w:fill="D9D9D9"/>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(465)</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(751)</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(1,027)</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(1,213)</w:t>
            </w:r>
          </w:p>
        </w:tc>
      </w:tr>
      <w:tr w:rsidR="00340D73" w:rsidRPr="00340D73" w:rsidTr="00340D73">
        <w:trPr>
          <w:trHeight w:val="225"/>
          <w:jc w:val="center"/>
        </w:trPr>
        <w:tc>
          <w:tcPr>
            <w:tcW w:w="2860" w:type="dxa"/>
            <w:tcBorders>
              <w:top w:val="nil"/>
              <w:left w:val="nil"/>
              <w:bottom w:val="single" w:sz="4" w:space="0" w:color="auto"/>
              <w:right w:val="nil"/>
            </w:tcBorders>
            <w:shd w:val="clear" w:color="auto" w:fill="auto"/>
            <w:noWrap/>
            <w:vAlign w:val="bottom"/>
            <w:hideMark/>
          </w:tcPr>
          <w:p w:rsidR="00340D73" w:rsidRPr="00340D73" w:rsidRDefault="00340D73" w:rsidP="001B17A0">
            <w:pPr>
              <w:spacing w:after="0"/>
              <w:ind w:firstLineChars="100" w:firstLine="160"/>
              <w:rPr>
                <w:rFonts w:ascii="Arial" w:hAnsi="Arial" w:cs="Arial"/>
                <w:b/>
                <w:bCs/>
                <w:sz w:val="16"/>
                <w:szCs w:val="16"/>
              </w:rPr>
            </w:pPr>
            <w:r w:rsidRPr="00340D73">
              <w:rPr>
                <w:rFonts w:ascii="Arial" w:hAnsi="Arial" w:cs="Arial"/>
                <w:b/>
                <w:bCs/>
                <w:sz w:val="16"/>
                <w:szCs w:val="16"/>
              </w:rPr>
              <w:t>Total equity</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2,269</w:t>
            </w:r>
          </w:p>
        </w:tc>
        <w:tc>
          <w:tcPr>
            <w:tcW w:w="900" w:type="dxa"/>
            <w:tcBorders>
              <w:top w:val="nil"/>
              <w:left w:val="nil"/>
              <w:bottom w:val="single" w:sz="4" w:space="0" w:color="auto"/>
              <w:right w:val="nil"/>
            </w:tcBorders>
            <w:shd w:val="clear" w:color="000000" w:fill="D9D9D9"/>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2,008</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1,871</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1,746</w:t>
            </w:r>
          </w:p>
        </w:tc>
        <w:tc>
          <w:tcPr>
            <w:tcW w:w="9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1,712</w:t>
            </w:r>
          </w:p>
        </w:tc>
      </w:tr>
    </w:tbl>
    <w:p w:rsidR="00340D73" w:rsidRPr="00340D73" w:rsidRDefault="00340D73" w:rsidP="00340D73"/>
    <w:p w:rsidR="0034688D" w:rsidRDefault="0034688D">
      <w:pPr>
        <w:spacing w:after="0"/>
        <w:rPr>
          <w:rFonts w:ascii="Arial" w:hAnsi="Arial" w:cs="Arial"/>
          <w:b/>
          <w:szCs w:val="18"/>
          <w:lang w:eastAsia="en-US"/>
        </w:rPr>
      </w:pPr>
      <w:r>
        <w:br w:type="page"/>
      </w:r>
    </w:p>
    <w:p w:rsidR="002308D2" w:rsidRPr="003C3DD3" w:rsidRDefault="00456383" w:rsidP="006318A3">
      <w:pPr>
        <w:pStyle w:val="Tablenumberandreference"/>
      </w:pPr>
      <w:r w:rsidRPr="003C3DD3">
        <w:t>Table 3.3: Departmental Statement of Changes in Equity – Summary of Movement (Budget year 201</w:t>
      </w:r>
      <w:r w:rsidR="00934304">
        <w:t>9</w:t>
      </w:r>
      <w:r w:rsidRPr="003C3DD3">
        <w:t>-</w:t>
      </w:r>
      <w:r w:rsidR="00934304">
        <w:t>20</w:t>
      </w:r>
      <w:r w:rsidRPr="003C3DD3">
        <w:t>)</w:t>
      </w:r>
    </w:p>
    <w:tbl>
      <w:tblPr>
        <w:tblW w:w="7380" w:type="dxa"/>
        <w:jc w:val="center"/>
        <w:tblLayout w:type="fixed"/>
        <w:tblLook w:val="04A0" w:firstRow="1" w:lastRow="0" w:firstColumn="1" w:lastColumn="0" w:noHBand="0" w:noVBand="1"/>
      </w:tblPr>
      <w:tblGrid>
        <w:gridCol w:w="2860"/>
        <w:gridCol w:w="1060"/>
        <w:gridCol w:w="1200"/>
        <w:gridCol w:w="1200"/>
        <w:gridCol w:w="1060"/>
      </w:tblGrid>
      <w:tr w:rsidR="00340D73" w:rsidRPr="00340D73" w:rsidTr="008A0AAA">
        <w:trPr>
          <w:trHeight w:val="765"/>
          <w:jc w:val="center"/>
        </w:trPr>
        <w:tc>
          <w:tcPr>
            <w:tcW w:w="2860" w:type="dxa"/>
            <w:tcBorders>
              <w:top w:val="single" w:sz="4" w:space="0" w:color="auto"/>
              <w:left w:val="nil"/>
              <w:bottom w:val="nil"/>
              <w:right w:val="nil"/>
            </w:tcBorders>
            <w:shd w:val="clear" w:color="auto" w:fill="auto"/>
            <w:hideMark/>
          </w:tcPr>
          <w:p w:rsidR="00340D73" w:rsidRPr="00340D73" w:rsidRDefault="00340D73" w:rsidP="00340D73">
            <w:pPr>
              <w:spacing w:before="40" w:after="0"/>
              <w:jc w:val="right"/>
              <w:rPr>
                <w:rFonts w:ascii="Times New Roman" w:hAnsi="Times New Roman"/>
                <w:color w:val="auto"/>
                <w:sz w:val="24"/>
                <w:szCs w:val="24"/>
              </w:rPr>
            </w:pPr>
          </w:p>
        </w:tc>
        <w:tc>
          <w:tcPr>
            <w:tcW w:w="1060" w:type="dxa"/>
            <w:tcBorders>
              <w:top w:val="single" w:sz="4" w:space="0" w:color="auto"/>
              <w:left w:val="nil"/>
              <w:bottom w:val="single" w:sz="4" w:space="0" w:color="auto"/>
              <w:right w:val="nil"/>
            </w:tcBorders>
            <w:shd w:val="clear" w:color="auto" w:fill="auto"/>
            <w:hideMark/>
          </w:tcPr>
          <w:p w:rsidR="00340D73" w:rsidRPr="00340D73" w:rsidRDefault="00340D73" w:rsidP="00340D73">
            <w:pPr>
              <w:spacing w:before="40" w:after="0"/>
              <w:jc w:val="right"/>
              <w:rPr>
                <w:rFonts w:ascii="Arial" w:hAnsi="Arial" w:cs="Arial"/>
                <w:sz w:val="16"/>
                <w:szCs w:val="16"/>
              </w:rPr>
            </w:pPr>
            <w:r w:rsidRPr="00340D73">
              <w:rPr>
                <w:rFonts w:ascii="Arial" w:hAnsi="Arial" w:cs="Arial"/>
                <w:b/>
                <w:bCs/>
                <w:sz w:val="16"/>
                <w:szCs w:val="16"/>
              </w:rPr>
              <w:t xml:space="preserve">Retained earnings </w:t>
            </w:r>
            <w:r w:rsidRPr="00340D73">
              <w:rPr>
                <w:rFonts w:ascii="Arial" w:hAnsi="Arial" w:cs="Arial"/>
                <w:sz w:val="16"/>
                <w:szCs w:val="16"/>
              </w:rPr>
              <w:br/>
            </w:r>
            <w:r w:rsidRPr="00340D73">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rsidR="00340D73" w:rsidRPr="00340D73" w:rsidRDefault="00340D73" w:rsidP="00340D73">
            <w:pPr>
              <w:spacing w:before="40" w:after="0"/>
              <w:jc w:val="right"/>
              <w:rPr>
                <w:rFonts w:ascii="Arial" w:hAnsi="Arial" w:cs="Arial"/>
                <w:sz w:val="16"/>
                <w:szCs w:val="16"/>
              </w:rPr>
            </w:pPr>
            <w:r w:rsidRPr="00340D73">
              <w:rPr>
                <w:rFonts w:ascii="Arial" w:hAnsi="Arial" w:cs="Arial"/>
                <w:b/>
                <w:bCs/>
                <w:sz w:val="16"/>
                <w:szCs w:val="16"/>
              </w:rPr>
              <w:t xml:space="preserve">Asset revaluation reserve </w:t>
            </w:r>
            <w:r w:rsidRPr="00340D73">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tcMar>
              <w:left w:w="0" w:type="dxa"/>
            </w:tcMar>
            <w:hideMark/>
          </w:tcPr>
          <w:p w:rsidR="00340D73" w:rsidRPr="00340D73" w:rsidRDefault="00340D73" w:rsidP="008A0AAA">
            <w:pPr>
              <w:spacing w:before="40" w:after="0"/>
              <w:jc w:val="right"/>
              <w:rPr>
                <w:rFonts w:ascii="Arial" w:hAnsi="Arial" w:cs="Arial"/>
                <w:sz w:val="16"/>
                <w:szCs w:val="16"/>
              </w:rPr>
            </w:pPr>
            <w:r w:rsidRPr="00340D73">
              <w:rPr>
                <w:rFonts w:ascii="Arial" w:hAnsi="Arial" w:cs="Arial"/>
                <w:b/>
                <w:bCs/>
                <w:sz w:val="16"/>
                <w:szCs w:val="16"/>
              </w:rPr>
              <w:t xml:space="preserve">Contributed equity/capital </w:t>
            </w:r>
            <w:r w:rsidRPr="00340D73">
              <w:rPr>
                <w:rFonts w:ascii="Arial" w:hAnsi="Arial" w:cs="Arial"/>
                <w:sz w:val="16"/>
                <w:szCs w:val="16"/>
              </w:rPr>
              <w:br/>
            </w:r>
            <w:r w:rsidR="008A0AAA">
              <w:rPr>
                <w:rFonts w:ascii="Arial" w:hAnsi="Arial" w:cs="Arial"/>
                <w:sz w:val="16"/>
                <w:szCs w:val="16"/>
              </w:rPr>
              <w:br/>
            </w:r>
            <w:r w:rsidRPr="00340D73">
              <w:rPr>
                <w:rFonts w:ascii="Arial" w:hAnsi="Arial" w:cs="Arial"/>
                <w:sz w:val="16"/>
                <w:szCs w:val="16"/>
              </w:rPr>
              <w:t>$'000</w:t>
            </w:r>
          </w:p>
        </w:tc>
        <w:tc>
          <w:tcPr>
            <w:tcW w:w="1060" w:type="dxa"/>
            <w:tcBorders>
              <w:top w:val="single" w:sz="4" w:space="0" w:color="auto"/>
              <w:left w:val="nil"/>
              <w:bottom w:val="single" w:sz="4" w:space="0" w:color="auto"/>
              <w:right w:val="nil"/>
            </w:tcBorders>
            <w:shd w:val="clear" w:color="auto" w:fill="auto"/>
            <w:hideMark/>
          </w:tcPr>
          <w:p w:rsidR="00340D73" w:rsidRPr="00340D73" w:rsidRDefault="00340D73" w:rsidP="00340D73">
            <w:pPr>
              <w:spacing w:before="40" w:after="0"/>
              <w:jc w:val="right"/>
              <w:rPr>
                <w:rFonts w:ascii="Arial" w:hAnsi="Arial" w:cs="Arial"/>
                <w:sz w:val="16"/>
                <w:szCs w:val="16"/>
              </w:rPr>
            </w:pPr>
            <w:r w:rsidRPr="00340D73">
              <w:rPr>
                <w:rFonts w:ascii="Arial" w:hAnsi="Arial" w:cs="Arial"/>
                <w:b/>
                <w:bCs/>
                <w:sz w:val="16"/>
                <w:szCs w:val="16"/>
              </w:rPr>
              <w:t xml:space="preserve">Total </w:t>
            </w:r>
            <w:r w:rsidRPr="00340D73">
              <w:rPr>
                <w:rFonts w:ascii="Arial" w:hAnsi="Arial" w:cs="Arial"/>
                <w:b/>
                <w:bCs/>
                <w:sz w:val="16"/>
                <w:szCs w:val="16"/>
              </w:rPr>
              <w:br/>
              <w:t xml:space="preserve">equity </w:t>
            </w:r>
            <w:r w:rsidRPr="00340D73">
              <w:rPr>
                <w:rFonts w:ascii="Arial" w:hAnsi="Arial" w:cs="Arial"/>
                <w:sz w:val="16"/>
                <w:szCs w:val="16"/>
              </w:rPr>
              <w:br/>
            </w:r>
            <w:r w:rsidRPr="00340D73">
              <w:rPr>
                <w:rFonts w:ascii="Arial" w:hAnsi="Arial" w:cs="Arial"/>
                <w:sz w:val="16"/>
                <w:szCs w:val="16"/>
              </w:rPr>
              <w:br/>
              <w:t>$'000</w:t>
            </w:r>
          </w:p>
        </w:tc>
      </w:tr>
      <w:tr w:rsidR="00340D73" w:rsidRPr="00340D73" w:rsidTr="00340D73">
        <w:trPr>
          <w:trHeight w:val="225"/>
          <w:jc w:val="center"/>
        </w:trPr>
        <w:tc>
          <w:tcPr>
            <w:tcW w:w="2860" w:type="dxa"/>
            <w:tcBorders>
              <w:top w:val="nil"/>
              <w:left w:val="nil"/>
              <w:bottom w:val="nil"/>
              <w:right w:val="nil"/>
            </w:tcBorders>
            <w:shd w:val="clear" w:color="auto" w:fill="auto"/>
            <w:noWrap/>
            <w:vAlign w:val="bottom"/>
            <w:hideMark/>
          </w:tcPr>
          <w:p w:rsidR="00340D73" w:rsidRPr="00340D73" w:rsidRDefault="00340D73" w:rsidP="00340D73">
            <w:pPr>
              <w:spacing w:after="0"/>
              <w:rPr>
                <w:rFonts w:ascii="Arial" w:hAnsi="Arial" w:cs="Arial"/>
                <w:b/>
                <w:bCs/>
                <w:sz w:val="16"/>
                <w:szCs w:val="16"/>
              </w:rPr>
            </w:pPr>
            <w:r w:rsidRPr="00340D73">
              <w:rPr>
                <w:rFonts w:ascii="Arial" w:hAnsi="Arial" w:cs="Arial"/>
                <w:b/>
                <w:bCs/>
                <w:sz w:val="16"/>
                <w:szCs w:val="16"/>
              </w:rPr>
              <w:t>Opening balance as at 1 July 2019</w:t>
            </w:r>
          </w:p>
        </w:tc>
        <w:tc>
          <w:tcPr>
            <w:tcW w:w="1060" w:type="dxa"/>
            <w:tcBorders>
              <w:top w:val="nil"/>
              <w:left w:val="nil"/>
              <w:bottom w:val="nil"/>
              <w:right w:val="nil"/>
            </w:tcBorders>
            <w:shd w:val="clear" w:color="auto" w:fill="auto"/>
            <w:noWrap/>
            <w:vAlign w:val="bottom"/>
            <w:hideMark/>
          </w:tcPr>
          <w:p w:rsidR="00340D73" w:rsidRPr="00340D73" w:rsidRDefault="00340D73" w:rsidP="00340D73">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Times New Roman" w:hAnsi="Times New Roman"/>
                <w:color w:val="auto"/>
              </w:rPr>
            </w:pPr>
          </w:p>
        </w:tc>
        <w:tc>
          <w:tcPr>
            <w:tcW w:w="12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Times New Roman" w:hAnsi="Times New Roman"/>
                <w:color w:val="auto"/>
              </w:rPr>
            </w:pPr>
          </w:p>
        </w:tc>
      </w:tr>
      <w:tr w:rsidR="00340D73" w:rsidRPr="00340D73" w:rsidTr="008A0AAA">
        <w:trPr>
          <w:trHeight w:val="454"/>
          <w:jc w:val="center"/>
        </w:trPr>
        <w:tc>
          <w:tcPr>
            <w:tcW w:w="2860" w:type="dxa"/>
            <w:tcBorders>
              <w:top w:val="nil"/>
              <w:left w:val="nil"/>
              <w:bottom w:val="nil"/>
              <w:right w:val="nil"/>
            </w:tcBorders>
            <w:shd w:val="clear" w:color="auto" w:fill="auto"/>
            <w:vAlign w:val="bottom"/>
            <w:hideMark/>
          </w:tcPr>
          <w:p w:rsidR="00340D73" w:rsidRPr="00340D73" w:rsidRDefault="00340D73" w:rsidP="008A0AAA">
            <w:pPr>
              <w:spacing w:after="0"/>
              <w:ind w:leftChars="75" w:left="150"/>
              <w:rPr>
                <w:rFonts w:ascii="Arial" w:hAnsi="Arial" w:cs="Arial"/>
                <w:sz w:val="16"/>
                <w:szCs w:val="16"/>
              </w:rPr>
            </w:pPr>
            <w:r w:rsidRPr="00340D73">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(175)</w:t>
            </w:r>
          </w:p>
        </w:tc>
        <w:tc>
          <w:tcPr>
            <w:tcW w:w="12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831</w:t>
            </w:r>
          </w:p>
        </w:tc>
        <w:tc>
          <w:tcPr>
            <w:tcW w:w="12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1,613</w:t>
            </w:r>
          </w:p>
        </w:tc>
        <w:tc>
          <w:tcPr>
            <w:tcW w:w="106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2,269</w:t>
            </w:r>
          </w:p>
        </w:tc>
      </w:tr>
      <w:tr w:rsidR="00340D73" w:rsidRPr="00340D73" w:rsidTr="008A0AAA">
        <w:trPr>
          <w:trHeight w:val="255"/>
          <w:jc w:val="center"/>
        </w:trPr>
        <w:tc>
          <w:tcPr>
            <w:tcW w:w="2860" w:type="dxa"/>
            <w:tcBorders>
              <w:top w:val="nil"/>
              <w:left w:val="nil"/>
              <w:bottom w:val="nil"/>
              <w:right w:val="nil"/>
            </w:tcBorders>
            <w:shd w:val="clear" w:color="auto" w:fill="auto"/>
            <w:noWrap/>
            <w:vAlign w:val="bottom"/>
            <w:hideMark/>
          </w:tcPr>
          <w:p w:rsidR="00340D73" w:rsidRPr="00340D73" w:rsidRDefault="00340D73" w:rsidP="00340D73">
            <w:pPr>
              <w:spacing w:after="0"/>
              <w:ind w:firstLineChars="100" w:firstLine="160"/>
              <w:rPr>
                <w:rFonts w:ascii="Arial" w:hAnsi="Arial" w:cs="Arial"/>
                <w:color w:val="auto"/>
                <w:sz w:val="16"/>
                <w:szCs w:val="16"/>
              </w:rPr>
            </w:pPr>
            <w:r w:rsidRPr="00340D73">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(290)</w:t>
            </w:r>
          </w:p>
        </w:tc>
        <w:tc>
          <w:tcPr>
            <w:tcW w:w="12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color w:val="auto"/>
                <w:sz w:val="16"/>
                <w:szCs w:val="16"/>
              </w:rPr>
            </w:pPr>
            <w:r w:rsidRPr="00340D73">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color w:val="auto"/>
                <w:sz w:val="16"/>
                <w:szCs w:val="16"/>
              </w:rPr>
            </w:pPr>
            <w:r w:rsidRPr="00340D73">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(290)</w:t>
            </w:r>
          </w:p>
        </w:tc>
      </w:tr>
      <w:tr w:rsidR="00340D73" w:rsidRPr="00340D73" w:rsidTr="008A0AAA">
        <w:trPr>
          <w:trHeight w:val="255"/>
          <w:jc w:val="center"/>
        </w:trPr>
        <w:tc>
          <w:tcPr>
            <w:tcW w:w="2860" w:type="dxa"/>
            <w:tcBorders>
              <w:top w:val="nil"/>
              <w:left w:val="nil"/>
              <w:bottom w:val="nil"/>
              <w:right w:val="nil"/>
            </w:tcBorders>
            <w:shd w:val="clear" w:color="000000" w:fill="FFFFFF"/>
            <w:noWrap/>
            <w:vAlign w:val="bottom"/>
            <w:hideMark/>
          </w:tcPr>
          <w:p w:rsidR="00340D73" w:rsidRPr="00340D73" w:rsidRDefault="00340D73" w:rsidP="00340D73">
            <w:pPr>
              <w:spacing w:after="0"/>
              <w:ind w:firstLineChars="100" w:firstLine="160"/>
              <w:rPr>
                <w:rFonts w:ascii="Arial" w:hAnsi="Arial" w:cs="Arial"/>
                <w:color w:val="auto"/>
                <w:sz w:val="16"/>
                <w:szCs w:val="16"/>
              </w:rPr>
            </w:pPr>
            <w:r w:rsidRPr="00340D73">
              <w:rPr>
                <w:rFonts w:ascii="Arial" w:hAnsi="Arial" w:cs="Arial"/>
                <w:color w:val="auto"/>
                <w:sz w:val="16"/>
                <w:szCs w:val="16"/>
              </w:rPr>
              <w:t>Capital budget - Bill 1 (DCB)</w:t>
            </w:r>
          </w:p>
        </w:tc>
        <w:tc>
          <w:tcPr>
            <w:tcW w:w="106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sz w:val="16"/>
                <w:szCs w:val="16"/>
              </w:rPr>
            </w:pPr>
            <w:r w:rsidRPr="00340D73">
              <w:rPr>
                <w:rFonts w:ascii="Arial" w:hAnsi="Arial" w:cs="Arial"/>
                <w:sz w:val="16"/>
                <w:szCs w:val="16"/>
              </w:rPr>
              <w:t>29</w:t>
            </w:r>
          </w:p>
        </w:tc>
        <w:tc>
          <w:tcPr>
            <w:tcW w:w="106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29</w:t>
            </w:r>
          </w:p>
        </w:tc>
      </w:tr>
      <w:tr w:rsidR="00340D73" w:rsidRPr="00340D73" w:rsidTr="008A0AAA">
        <w:trPr>
          <w:trHeight w:val="425"/>
          <w:jc w:val="center"/>
        </w:trPr>
        <w:tc>
          <w:tcPr>
            <w:tcW w:w="2860" w:type="dxa"/>
            <w:tcBorders>
              <w:top w:val="nil"/>
              <w:left w:val="nil"/>
              <w:bottom w:val="single" w:sz="4" w:space="0" w:color="auto"/>
              <w:right w:val="nil"/>
            </w:tcBorders>
            <w:shd w:val="clear" w:color="auto" w:fill="auto"/>
            <w:vAlign w:val="bottom"/>
            <w:hideMark/>
          </w:tcPr>
          <w:p w:rsidR="00340D73" w:rsidRPr="00340D73" w:rsidRDefault="00340D73" w:rsidP="008A0AAA">
            <w:pPr>
              <w:spacing w:after="0"/>
              <w:rPr>
                <w:rFonts w:ascii="Arial" w:hAnsi="Arial" w:cs="Arial"/>
                <w:b/>
                <w:bCs/>
                <w:sz w:val="16"/>
                <w:szCs w:val="16"/>
              </w:rPr>
            </w:pPr>
            <w:r w:rsidRPr="00340D73">
              <w:rPr>
                <w:rFonts w:ascii="Arial" w:hAnsi="Arial" w:cs="Arial"/>
                <w:b/>
                <w:bCs/>
                <w:sz w:val="16"/>
                <w:szCs w:val="16"/>
              </w:rPr>
              <w:t>Estimated closing balance as at 30</w:t>
            </w:r>
            <w:r w:rsidR="008A0AAA">
              <w:rPr>
                <w:rFonts w:ascii="Arial" w:hAnsi="Arial" w:cs="Arial"/>
                <w:b/>
                <w:bCs/>
                <w:sz w:val="16"/>
                <w:szCs w:val="16"/>
              </w:rPr>
              <w:t> </w:t>
            </w:r>
            <w:r w:rsidRPr="00340D73">
              <w:rPr>
                <w:rFonts w:ascii="Arial" w:hAnsi="Arial" w:cs="Arial"/>
                <w:b/>
                <w:bCs/>
                <w:sz w:val="16"/>
                <w:szCs w:val="16"/>
              </w:rPr>
              <w:t>June 2020</w:t>
            </w:r>
          </w:p>
        </w:tc>
        <w:tc>
          <w:tcPr>
            <w:tcW w:w="106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(465)</w:t>
            </w:r>
          </w:p>
        </w:tc>
        <w:tc>
          <w:tcPr>
            <w:tcW w:w="12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831</w:t>
            </w:r>
          </w:p>
        </w:tc>
        <w:tc>
          <w:tcPr>
            <w:tcW w:w="120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1,642</w:t>
            </w:r>
          </w:p>
        </w:tc>
        <w:tc>
          <w:tcPr>
            <w:tcW w:w="1060" w:type="dxa"/>
            <w:tcBorders>
              <w:top w:val="nil"/>
              <w:left w:val="nil"/>
              <w:bottom w:val="single" w:sz="4" w:space="0" w:color="auto"/>
              <w:right w:val="nil"/>
            </w:tcBorders>
            <w:shd w:val="clear" w:color="auto" w:fill="auto"/>
            <w:noWrap/>
            <w:vAlign w:val="bottom"/>
            <w:hideMark/>
          </w:tcPr>
          <w:p w:rsidR="00340D73" w:rsidRPr="00340D73" w:rsidRDefault="00340D73" w:rsidP="00340D73">
            <w:pPr>
              <w:spacing w:after="0"/>
              <w:jc w:val="right"/>
              <w:rPr>
                <w:rFonts w:ascii="Arial" w:hAnsi="Arial" w:cs="Arial"/>
                <w:b/>
                <w:bCs/>
                <w:sz w:val="16"/>
                <w:szCs w:val="16"/>
              </w:rPr>
            </w:pPr>
            <w:r w:rsidRPr="00340D73">
              <w:rPr>
                <w:rFonts w:ascii="Arial" w:hAnsi="Arial" w:cs="Arial"/>
                <w:b/>
                <w:bCs/>
                <w:sz w:val="16"/>
                <w:szCs w:val="16"/>
              </w:rPr>
              <w:t>2,008</w:t>
            </w:r>
          </w:p>
        </w:tc>
      </w:tr>
    </w:tbl>
    <w:p w:rsidR="00340D73" w:rsidRPr="00340D73" w:rsidRDefault="008A0AAA" w:rsidP="008A0AAA">
      <w:pPr>
        <w:pStyle w:val="FootnoteText"/>
        <w:spacing w:before="120"/>
      </w:pPr>
      <w:r w:rsidRPr="008A0AAA">
        <w:t>DCB = Departmental Capital Budget.</w:t>
      </w:r>
    </w:p>
    <w:p w:rsidR="00234523" w:rsidRPr="008A0AAA" w:rsidRDefault="00234523">
      <w:pPr>
        <w:spacing w:after="0"/>
        <w:rPr>
          <w:rFonts w:ascii="Arial" w:hAnsi="Arial" w:cs="Arial"/>
          <w:b/>
          <w:sz w:val="6"/>
          <w:szCs w:val="18"/>
          <w:lang w:eastAsia="en-US"/>
        </w:rPr>
      </w:pPr>
      <w:r>
        <w:br w:type="page"/>
      </w:r>
    </w:p>
    <w:p w:rsidR="00456383" w:rsidRPr="003C3DD3" w:rsidRDefault="00456383" w:rsidP="00F743D3">
      <w:pPr>
        <w:pStyle w:val="Tablenumberandreference"/>
      </w:pPr>
      <w:r w:rsidRPr="003C3DD3">
        <w:t>Table 3.4: Budgeted Departmental Statement of Cash Flows (for the period ended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8A0AAA" w:rsidRPr="008A0AAA" w:rsidTr="003A7495">
        <w:trPr>
          <w:trHeight w:val="765"/>
          <w:jc w:val="center"/>
        </w:trPr>
        <w:tc>
          <w:tcPr>
            <w:tcW w:w="2860" w:type="dxa"/>
            <w:tcBorders>
              <w:top w:val="single" w:sz="4" w:space="0" w:color="auto"/>
              <w:left w:val="nil"/>
              <w:bottom w:val="nil"/>
              <w:right w:val="nil"/>
            </w:tcBorders>
            <w:shd w:val="clear" w:color="auto" w:fill="auto"/>
            <w:hideMark/>
          </w:tcPr>
          <w:p w:rsidR="008A0AAA" w:rsidRPr="008A0AAA" w:rsidRDefault="008A0AAA" w:rsidP="008A0AAA">
            <w:pPr>
              <w:spacing w:before="40" w:after="0"/>
              <w:jc w:val="right"/>
              <w:rPr>
                <w:rFonts w:ascii="Times New Roman" w:hAnsi="Times New Roman"/>
                <w:color w:val="auto"/>
                <w:sz w:val="24"/>
                <w:szCs w:val="24"/>
              </w:rPr>
            </w:pPr>
          </w:p>
        </w:tc>
        <w:tc>
          <w:tcPr>
            <w:tcW w:w="900" w:type="dxa"/>
            <w:tcBorders>
              <w:top w:val="single" w:sz="4" w:space="0" w:color="auto"/>
              <w:left w:val="nil"/>
              <w:bottom w:val="single" w:sz="4" w:space="0" w:color="auto"/>
              <w:right w:val="nil"/>
            </w:tcBorders>
            <w:shd w:val="clear" w:color="auto" w:fill="auto"/>
            <w:tcMar>
              <w:left w:w="0" w:type="dxa"/>
            </w:tcMar>
            <w:hideMark/>
          </w:tcPr>
          <w:p w:rsidR="008A0AAA" w:rsidRPr="008A0AAA" w:rsidRDefault="008A0AAA" w:rsidP="008A0AAA">
            <w:pPr>
              <w:spacing w:before="40" w:after="0"/>
              <w:jc w:val="right"/>
              <w:rPr>
                <w:rFonts w:ascii="Arial" w:hAnsi="Arial" w:cs="Arial"/>
                <w:b/>
                <w:bCs/>
                <w:color w:val="auto"/>
                <w:sz w:val="16"/>
                <w:szCs w:val="16"/>
              </w:rPr>
            </w:pPr>
            <w:r w:rsidRPr="008A0AAA">
              <w:rPr>
                <w:rFonts w:ascii="Arial" w:hAnsi="Arial" w:cs="Arial"/>
                <w:b/>
                <w:bCs/>
                <w:color w:val="auto"/>
                <w:sz w:val="16"/>
                <w:szCs w:val="16"/>
              </w:rPr>
              <w:t>2018-19 Estimated actual</w:t>
            </w:r>
            <w:r w:rsidRPr="008A0AAA">
              <w:rPr>
                <w:rFonts w:ascii="Arial" w:hAnsi="Arial" w:cs="Arial"/>
                <w:b/>
                <w:bCs/>
                <w:color w:val="auto"/>
                <w:sz w:val="16"/>
                <w:szCs w:val="16"/>
              </w:rPr>
              <w:br/>
            </w:r>
            <w:r w:rsidRPr="008A0AAA">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hideMark/>
          </w:tcPr>
          <w:p w:rsidR="008A0AAA" w:rsidRPr="008A0AAA" w:rsidRDefault="008A0AAA" w:rsidP="008A0AAA">
            <w:pPr>
              <w:spacing w:before="40" w:after="0"/>
              <w:jc w:val="right"/>
              <w:rPr>
                <w:rFonts w:ascii="Arial" w:hAnsi="Arial" w:cs="Arial"/>
                <w:b/>
                <w:bCs/>
                <w:color w:val="auto"/>
                <w:sz w:val="16"/>
                <w:szCs w:val="16"/>
              </w:rPr>
            </w:pPr>
            <w:r w:rsidRPr="008A0AAA">
              <w:rPr>
                <w:rFonts w:ascii="Arial" w:hAnsi="Arial" w:cs="Arial"/>
                <w:b/>
                <w:bCs/>
                <w:color w:val="auto"/>
                <w:sz w:val="16"/>
                <w:szCs w:val="16"/>
              </w:rPr>
              <w:t xml:space="preserve">2019-20 Budget </w:t>
            </w:r>
            <w:r w:rsidRPr="008A0AAA">
              <w:rPr>
                <w:rFonts w:ascii="Arial" w:hAnsi="Arial" w:cs="Arial"/>
                <w:b/>
                <w:bCs/>
                <w:color w:val="auto"/>
                <w:sz w:val="16"/>
                <w:szCs w:val="16"/>
              </w:rPr>
              <w:br/>
            </w:r>
            <w:r w:rsidRPr="008A0AAA">
              <w:rPr>
                <w:rFonts w:ascii="Arial" w:hAnsi="Arial" w:cs="Arial"/>
                <w:b/>
                <w:bCs/>
                <w:color w:val="auto"/>
                <w:sz w:val="16"/>
                <w:szCs w:val="16"/>
              </w:rPr>
              <w:br/>
            </w:r>
            <w:r w:rsidRPr="008A0AAA">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rsidR="008A0AAA" w:rsidRPr="008A0AAA" w:rsidRDefault="008A0AAA" w:rsidP="008A0AAA">
            <w:pPr>
              <w:spacing w:before="40" w:after="0"/>
              <w:jc w:val="right"/>
              <w:rPr>
                <w:rFonts w:ascii="Arial" w:hAnsi="Arial" w:cs="Arial"/>
                <w:b/>
                <w:bCs/>
                <w:color w:val="auto"/>
                <w:sz w:val="16"/>
                <w:szCs w:val="16"/>
              </w:rPr>
            </w:pPr>
            <w:r w:rsidRPr="008A0AAA">
              <w:rPr>
                <w:rFonts w:ascii="Arial" w:hAnsi="Arial" w:cs="Arial"/>
                <w:b/>
                <w:bCs/>
                <w:color w:val="auto"/>
                <w:sz w:val="16"/>
                <w:szCs w:val="16"/>
              </w:rPr>
              <w:t>2020-21 Forward estimate</w:t>
            </w:r>
            <w:r w:rsidRPr="008A0AAA">
              <w:rPr>
                <w:rFonts w:ascii="Arial" w:hAnsi="Arial" w:cs="Arial"/>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rsidR="008A0AAA" w:rsidRPr="008A0AAA" w:rsidRDefault="008A0AAA" w:rsidP="008A0AAA">
            <w:pPr>
              <w:spacing w:before="40" w:after="0"/>
              <w:jc w:val="right"/>
              <w:rPr>
                <w:rFonts w:ascii="Arial" w:hAnsi="Arial" w:cs="Arial"/>
                <w:b/>
                <w:bCs/>
                <w:color w:val="auto"/>
                <w:sz w:val="16"/>
                <w:szCs w:val="16"/>
              </w:rPr>
            </w:pPr>
            <w:r w:rsidRPr="008A0AAA">
              <w:rPr>
                <w:rFonts w:ascii="Arial" w:hAnsi="Arial" w:cs="Arial"/>
                <w:b/>
                <w:bCs/>
                <w:color w:val="auto"/>
                <w:sz w:val="16"/>
                <w:szCs w:val="16"/>
              </w:rPr>
              <w:t>2021-22 Forward estimate</w:t>
            </w:r>
            <w:r w:rsidRPr="008A0AAA">
              <w:rPr>
                <w:rFonts w:ascii="Arial" w:hAnsi="Arial" w:cs="Arial"/>
                <w:b/>
                <w:bCs/>
                <w:color w:val="auto"/>
                <w:sz w:val="16"/>
                <w:szCs w:val="16"/>
              </w:rPr>
              <w:br/>
            </w:r>
            <w:r w:rsidRPr="008A0AAA">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rsidR="008A0AAA" w:rsidRPr="008A0AAA" w:rsidRDefault="008A0AAA" w:rsidP="008A0AAA">
            <w:pPr>
              <w:spacing w:before="40" w:after="0"/>
              <w:jc w:val="right"/>
              <w:rPr>
                <w:rFonts w:ascii="Arial" w:hAnsi="Arial" w:cs="Arial"/>
                <w:b/>
                <w:bCs/>
                <w:color w:val="auto"/>
                <w:sz w:val="16"/>
                <w:szCs w:val="16"/>
              </w:rPr>
            </w:pPr>
            <w:r w:rsidRPr="008A0AAA">
              <w:rPr>
                <w:rFonts w:ascii="Arial" w:hAnsi="Arial" w:cs="Arial"/>
                <w:b/>
                <w:bCs/>
                <w:color w:val="auto"/>
                <w:sz w:val="16"/>
                <w:szCs w:val="16"/>
              </w:rPr>
              <w:t>2022-23 Forward estimate</w:t>
            </w:r>
            <w:r w:rsidRPr="008A0AAA">
              <w:rPr>
                <w:rFonts w:ascii="Arial" w:hAnsi="Arial" w:cs="Arial"/>
                <w:b/>
                <w:bCs/>
                <w:color w:val="auto"/>
                <w:sz w:val="16"/>
                <w:szCs w:val="16"/>
              </w:rPr>
              <w:br/>
            </w:r>
            <w:r w:rsidRPr="008A0AAA">
              <w:rPr>
                <w:rFonts w:ascii="Arial" w:hAnsi="Arial" w:cs="Arial"/>
                <w:color w:val="auto"/>
                <w:sz w:val="16"/>
                <w:szCs w:val="16"/>
              </w:rPr>
              <w:t>$'000</w:t>
            </w:r>
          </w:p>
        </w:tc>
      </w:tr>
      <w:tr w:rsidR="008A0AAA" w:rsidRPr="008A0AAA" w:rsidTr="008A0AAA">
        <w:trPr>
          <w:trHeight w:val="225"/>
          <w:jc w:val="center"/>
        </w:trPr>
        <w:tc>
          <w:tcPr>
            <w:tcW w:w="2860" w:type="dxa"/>
            <w:tcBorders>
              <w:top w:val="nil"/>
              <w:left w:val="nil"/>
              <w:bottom w:val="nil"/>
              <w:right w:val="nil"/>
            </w:tcBorders>
            <w:shd w:val="clear" w:color="auto" w:fill="auto"/>
            <w:noWrap/>
            <w:vAlign w:val="bottom"/>
            <w:hideMark/>
          </w:tcPr>
          <w:p w:rsidR="008A0AAA" w:rsidRPr="008A0AAA" w:rsidRDefault="008A0AAA" w:rsidP="008A0AAA">
            <w:pPr>
              <w:spacing w:after="0"/>
              <w:rPr>
                <w:rFonts w:ascii="Arial" w:hAnsi="Arial" w:cs="Arial"/>
                <w:b/>
                <w:bCs/>
                <w:sz w:val="16"/>
                <w:szCs w:val="16"/>
              </w:rPr>
            </w:pPr>
            <w:r w:rsidRPr="008A0AAA">
              <w:rPr>
                <w:rFonts w:ascii="Arial" w:hAnsi="Arial" w:cs="Arial"/>
                <w:b/>
                <w:bCs/>
                <w:sz w:val="16"/>
                <w:szCs w:val="16"/>
              </w:rPr>
              <w:t>OPERATING ACTIVITIES</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Times New Roman" w:hAnsi="Times New Roman"/>
                <w:color w:val="auto"/>
              </w:rPr>
            </w:pPr>
          </w:p>
        </w:tc>
      </w:tr>
      <w:tr w:rsidR="008A0AAA" w:rsidRPr="008A0AAA" w:rsidTr="003A7495">
        <w:trPr>
          <w:trHeight w:val="255"/>
          <w:jc w:val="center"/>
        </w:trPr>
        <w:tc>
          <w:tcPr>
            <w:tcW w:w="2860" w:type="dxa"/>
            <w:tcBorders>
              <w:top w:val="nil"/>
              <w:left w:val="nil"/>
              <w:bottom w:val="nil"/>
              <w:right w:val="nil"/>
            </w:tcBorders>
            <w:shd w:val="clear" w:color="auto" w:fill="auto"/>
            <w:noWrap/>
            <w:vAlign w:val="bottom"/>
            <w:hideMark/>
          </w:tcPr>
          <w:p w:rsidR="008A0AAA" w:rsidRPr="008A0AAA" w:rsidRDefault="008A0AAA" w:rsidP="001B17A0">
            <w:pPr>
              <w:spacing w:after="0"/>
              <w:ind w:firstLineChars="100" w:firstLine="160"/>
              <w:rPr>
                <w:rFonts w:ascii="Arial" w:hAnsi="Arial" w:cs="Arial"/>
                <w:b/>
                <w:bCs/>
                <w:sz w:val="16"/>
                <w:szCs w:val="16"/>
              </w:rPr>
            </w:pPr>
            <w:r w:rsidRPr="008A0AAA">
              <w:rPr>
                <w:rFonts w:ascii="Arial" w:hAnsi="Arial" w:cs="Arial"/>
                <w:b/>
                <w:bCs/>
                <w:sz w:val="16"/>
                <w:szCs w:val="16"/>
              </w:rPr>
              <w:t>Cash received</w:t>
            </w:r>
          </w:p>
        </w:tc>
        <w:tc>
          <w:tcPr>
            <w:tcW w:w="900" w:type="dxa"/>
            <w:tcBorders>
              <w:top w:val="nil"/>
              <w:left w:val="nil"/>
              <w:bottom w:val="nil"/>
              <w:right w:val="nil"/>
            </w:tcBorders>
            <w:shd w:val="clear" w:color="auto" w:fill="auto"/>
            <w:noWrap/>
            <w:vAlign w:val="bottom"/>
            <w:hideMark/>
          </w:tcPr>
          <w:p w:rsidR="008A0AAA" w:rsidRPr="008A0AAA" w:rsidRDefault="008A0AAA" w:rsidP="001B17A0">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Times New Roman" w:hAnsi="Times New Roman"/>
                <w:color w:val="auto"/>
              </w:rPr>
            </w:pPr>
          </w:p>
        </w:tc>
      </w:tr>
      <w:tr w:rsidR="008A0AAA" w:rsidRPr="008A0AAA" w:rsidTr="008A0AAA">
        <w:trPr>
          <w:trHeight w:val="225"/>
          <w:jc w:val="center"/>
        </w:trPr>
        <w:tc>
          <w:tcPr>
            <w:tcW w:w="2860" w:type="dxa"/>
            <w:tcBorders>
              <w:top w:val="nil"/>
              <w:left w:val="nil"/>
              <w:bottom w:val="nil"/>
              <w:right w:val="nil"/>
            </w:tcBorders>
            <w:shd w:val="clear" w:color="auto" w:fill="auto"/>
            <w:noWrap/>
            <w:vAlign w:val="bottom"/>
            <w:hideMark/>
          </w:tcPr>
          <w:p w:rsidR="008A0AAA" w:rsidRPr="008A0AAA" w:rsidRDefault="008A0AAA" w:rsidP="008A0AAA">
            <w:pPr>
              <w:spacing w:after="0"/>
              <w:ind w:firstLineChars="200" w:firstLine="320"/>
              <w:rPr>
                <w:rFonts w:ascii="Arial" w:hAnsi="Arial" w:cs="Arial"/>
                <w:sz w:val="16"/>
                <w:szCs w:val="16"/>
              </w:rPr>
            </w:pPr>
            <w:r w:rsidRPr="008A0AAA">
              <w:rPr>
                <w:rFonts w:ascii="Arial" w:hAnsi="Arial" w:cs="Arial"/>
                <w:sz w:val="16"/>
                <w:szCs w:val="16"/>
              </w:rPr>
              <w:t>Appropriations</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6,651</w:t>
            </w:r>
          </w:p>
        </w:tc>
        <w:tc>
          <w:tcPr>
            <w:tcW w:w="900" w:type="dxa"/>
            <w:tcBorders>
              <w:top w:val="nil"/>
              <w:left w:val="nil"/>
              <w:bottom w:val="nil"/>
              <w:right w:val="nil"/>
            </w:tcBorders>
            <w:shd w:val="clear" w:color="000000" w:fill="D9D9D9"/>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8,227</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8,314</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8,370</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8,411</w:t>
            </w:r>
          </w:p>
        </w:tc>
      </w:tr>
      <w:tr w:rsidR="008A0AAA" w:rsidRPr="008A0AAA" w:rsidTr="008A0AAA">
        <w:trPr>
          <w:trHeight w:val="225"/>
          <w:jc w:val="center"/>
        </w:trPr>
        <w:tc>
          <w:tcPr>
            <w:tcW w:w="2860" w:type="dxa"/>
            <w:tcBorders>
              <w:top w:val="nil"/>
              <w:left w:val="nil"/>
              <w:bottom w:val="nil"/>
              <w:right w:val="nil"/>
            </w:tcBorders>
            <w:shd w:val="clear" w:color="auto" w:fill="auto"/>
            <w:noWrap/>
            <w:vAlign w:val="bottom"/>
            <w:hideMark/>
          </w:tcPr>
          <w:p w:rsidR="008A0AAA" w:rsidRPr="008A0AAA" w:rsidRDefault="008A0AAA" w:rsidP="008A0AAA">
            <w:pPr>
              <w:spacing w:after="0"/>
              <w:ind w:firstLineChars="200" w:firstLine="320"/>
              <w:rPr>
                <w:rFonts w:ascii="Arial" w:hAnsi="Arial" w:cs="Arial"/>
                <w:sz w:val="16"/>
                <w:szCs w:val="16"/>
              </w:rPr>
            </w:pPr>
            <w:r w:rsidRPr="008A0AAA">
              <w:rPr>
                <w:rFonts w:ascii="Arial" w:hAnsi="Arial" w:cs="Arial"/>
                <w:sz w:val="16"/>
                <w:szCs w:val="16"/>
              </w:rPr>
              <w:t>Net GST received</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293</w:t>
            </w:r>
          </w:p>
        </w:tc>
        <w:tc>
          <w:tcPr>
            <w:tcW w:w="900" w:type="dxa"/>
            <w:tcBorders>
              <w:top w:val="nil"/>
              <w:left w:val="nil"/>
              <w:bottom w:val="nil"/>
              <w:right w:val="nil"/>
            </w:tcBorders>
            <w:shd w:val="clear" w:color="000000" w:fill="D9D9D9"/>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308</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355</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358</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360</w:t>
            </w:r>
          </w:p>
        </w:tc>
      </w:tr>
      <w:tr w:rsidR="008A0AAA" w:rsidRPr="008A0AAA" w:rsidTr="008A0AAA">
        <w:trPr>
          <w:trHeight w:val="225"/>
          <w:jc w:val="center"/>
        </w:trPr>
        <w:tc>
          <w:tcPr>
            <w:tcW w:w="2860" w:type="dxa"/>
            <w:tcBorders>
              <w:top w:val="nil"/>
              <w:left w:val="nil"/>
              <w:bottom w:val="nil"/>
              <w:right w:val="nil"/>
            </w:tcBorders>
            <w:shd w:val="clear" w:color="auto" w:fill="auto"/>
            <w:noWrap/>
            <w:vAlign w:val="bottom"/>
            <w:hideMark/>
          </w:tcPr>
          <w:p w:rsidR="008A0AAA" w:rsidRPr="008A0AAA" w:rsidRDefault="008A0AAA" w:rsidP="001B17A0">
            <w:pPr>
              <w:spacing w:after="0"/>
              <w:ind w:firstLineChars="200" w:firstLine="320"/>
              <w:rPr>
                <w:rFonts w:ascii="Arial" w:hAnsi="Arial" w:cs="Arial"/>
                <w:b/>
                <w:bCs/>
                <w:sz w:val="16"/>
                <w:szCs w:val="16"/>
              </w:rPr>
            </w:pPr>
            <w:r w:rsidRPr="008A0AAA">
              <w:rPr>
                <w:rFonts w:ascii="Arial" w:hAnsi="Arial" w:cs="Arial"/>
                <w:b/>
                <w:bCs/>
                <w:sz w:val="16"/>
                <w:szCs w:val="16"/>
              </w:rPr>
              <w:t>Total cash received</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6,944</w:t>
            </w:r>
          </w:p>
        </w:tc>
        <w:tc>
          <w:tcPr>
            <w:tcW w:w="900" w:type="dxa"/>
            <w:tcBorders>
              <w:top w:val="nil"/>
              <w:left w:val="nil"/>
              <w:bottom w:val="single" w:sz="4" w:space="0" w:color="auto"/>
              <w:right w:val="nil"/>
            </w:tcBorders>
            <w:shd w:val="clear" w:color="000000" w:fill="D9D9D9"/>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8,535</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8,669</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8,728</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8,771</w:t>
            </w:r>
          </w:p>
        </w:tc>
      </w:tr>
      <w:tr w:rsidR="008A0AAA" w:rsidRPr="008A0AAA" w:rsidTr="003A7495">
        <w:trPr>
          <w:trHeight w:val="255"/>
          <w:jc w:val="center"/>
        </w:trPr>
        <w:tc>
          <w:tcPr>
            <w:tcW w:w="2860" w:type="dxa"/>
            <w:tcBorders>
              <w:top w:val="nil"/>
              <w:left w:val="nil"/>
              <w:bottom w:val="nil"/>
              <w:right w:val="nil"/>
            </w:tcBorders>
            <w:shd w:val="clear" w:color="auto" w:fill="auto"/>
            <w:noWrap/>
            <w:vAlign w:val="bottom"/>
            <w:hideMark/>
          </w:tcPr>
          <w:p w:rsidR="008A0AAA" w:rsidRPr="008A0AAA" w:rsidRDefault="008A0AAA" w:rsidP="001B17A0">
            <w:pPr>
              <w:spacing w:after="0"/>
              <w:ind w:firstLineChars="100" w:firstLine="160"/>
              <w:rPr>
                <w:rFonts w:ascii="Arial" w:hAnsi="Arial" w:cs="Arial"/>
                <w:b/>
                <w:bCs/>
                <w:sz w:val="16"/>
                <w:szCs w:val="16"/>
              </w:rPr>
            </w:pPr>
            <w:r w:rsidRPr="008A0AAA">
              <w:rPr>
                <w:rFonts w:ascii="Arial" w:hAnsi="Arial" w:cs="Arial"/>
                <w:b/>
                <w:bCs/>
                <w:sz w:val="16"/>
                <w:szCs w:val="16"/>
              </w:rPr>
              <w:t>Cash used</w:t>
            </w:r>
          </w:p>
        </w:tc>
        <w:tc>
          <w:tcPr>
            <w:tcW w:w="900" w:type="dxa"/>
            <w:tcBorders>
              <w:top w:val="nil"/>
              <w:left w:val="nil"/>
              <w:bottom w:val="nil"/>
              <w:right w:val="nil"/>
            </w:tcBorders>
            <w:shd w:val="clear" w:color="auto" w:fill="auto"/>
            <w:noWrap/>
            <w:vAlign w:val="bottom"/>
            <w:hideMark/>
          </w:tcPr>
          <w:p w:rsidR="008A0AAA" w:rsidRPr="008A0AAA" w:rsidRDefault="008A0AAA" w:rsidP="001B17A0">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Times New Roman" w:hAnsi="Times New Roman"/>
                <w:color w:val="auto"/>
              </w:rPr>
            </w:pPr>
          </w:p>
        </w:tc>
      </w:tr>
      <w:tr w:rsidR="008A0AAA" w:rsidRPr="008A0AAA" w:rsidTr="008A0AAA">
        <w:trPr>
          <w:trHeight w:val="225"/>
          <w:jc w:val="center"/>
        </w:trPr>
        <w:tc>
          <w:tcPr>
            <w:tcW w:w="2860" w:type="dxa"/>
            <w:tcBorders>
              <w:top w:val="nil"/>
              <w:left w:val="nil"/>
              <w:bottom w:val="nil"/>
              <w:right w:val="nil"/>
            </w:tcBorders>
            <w:shd w:val="clear" w:color="auto" w:fill="auto"/>
            <w:noWrap/>
            <w:vAlign w:val="bottom"/>
            <w:hideMark/>
          </w:tcPr>
          <w:p w:rsidR="008A0AAA" w:rsidRPr="008A0AAA" w:rsidRDefault="008A0AAA" w:rsidP="008A0AAA">
            <w:pPr>
              <w:spacing w:after="0"/>
              <w:ind w:firstLineChars="200" w:firstLine="320"/>
              <w:rPr>
                <w:rFonts w:ascii="Arial" w:hAnsi="Arial" w:cs="Arial"/>
                <w:sz w:val="16"/>
                <w:szCs w:val="16"/>
              </w:rPr>
            </w:pPr>
            <w:r w:rsidRPr="008A0AAA">
              <w:rPr>
                <w:rFonts w:ascii="Arial" w:hAnsi="Arial" w:cs="Arial"/>
                <w:sz w:val="16"/>
                <w:szCs w:val="16"/>
              </w:rPr>
              <w:t>Employees</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2,985</w:t>
            </w:r>
          </w:p>
        </w:tc>
        <w:tc>
          <w:tcPr>
            <w:tcW w:w="900" w:type="dxa"/>
            <w:tcBorders>
              <w:top w:val="nil"/>
              <w:left w:val="nil"/>
              <w:bottom w:val="nil"/>
              <w:right w:val="nil"/>
            </w:tcBorders>
            <w:shd w:val="clear" w:color="000000" w:fill="D9D9D9"/>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3,440</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3,649</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3,733</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3,860</w:t>
            </w:r>
          </w:p>
        </w:tc>
      </w:tr>
      <w:tr w:rsidR="008A0AAA" w:rsidRPr="008A0AAA" w:rsidTr="008A0AAA">
        <w:trPr>
          <w:trHeight w:val="225"/>
          <w:jc w:val="center"/>
        </w:trPr>
        <w:tc>
          <w:tcPr>
            <w:tcW w:w="2860" w:type="dxa"/>
            <w:tcBorders>
              <w:top w:val="nil"/>
              <w:left w:val="nil"/>
              <w:bottom w:val="nil"/>
              <w:right w:val="nil"/>
            </w:tcBorders>
            <w:shd w:val="clear" w:color="auto" w:fill="auto"/>
            <w:noWrap/>
            <w:vAlign w:val="bottom"/>
            <w:hideMark/>
          </w:tcPr>
          <w:p w:rsidR="008A0AAA" w:rsidRPr="008A0AAA" w:rsidRDefault="008A0AAA" w:rsidP="008A0AAA">
            <w:pPr>
              <w:spacing w:after="0"/>
              <w:ind w:firstLineChars="200" w:firstLine="320"/>
              <w:rPr>
                <w:rFonts w:ascii="Arial" w:hAnsi="Arial" w:cs="Arial"/>
                <w:sz w:val="16"/>
                <w:szCs w:val="16"/>
              </w:rPr>
            </w:pPr>
            <w:r w:rsidRPr="008A0AAA">
              <w:rPr>
                <w:rFonts w:ascii="Arial" w:hAnsi="Arial" w:cs="Arial"/>
                <w:sz w:val="16"/>
                <w:szCs w:val="16"/>
              </w:rPr>
              <w:t>Suppliers</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color w:val="auto"/>
                <w:sz w:val="16"/>
                <w:szCs w:val="16"/>
              </w:rPr>
            </w:pPr>
            <w:r w:rsidRPr="008A0AAA">
              <w:rPr>
                <w:rFonts w:ascii="Arial" w:hAnsi="Arial" w:cs="Arial"/>
                <w:color w:val="auto"/>
                <w:sz w:val="16"/>
                <w:szCs w:val="16"/>
              </w:rPr>
              <w:t>3,784</w:t>
            </w:r>
          </w:p>
        </w:tc>
        <w:tc>
          <w:tcPr>
            <w:tcW w:w="900" w:type="dxa"/>
            <w:tcBorders>
              <w:top w:val="nil"/>
              <w:left w:val="nil"/>
              <w:bottom w:val="nil"/>
              <w:right w:val="nil"/>
            </w:tcBorders>
            <w:shd w:val="clear" w:color="000000" w:fill="D9D9D9"/>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5,034</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5,015</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4,995</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4,911</w:t>
            </w:r>
          </w:p>
        </w:tc>
      </w:tr>
      <w:tr w:rsidR="008A0AAA" w:rsidRPr="008A0AAA" w:rsidTr="008A0AAA">
        <w:trPr>
          <w:trHeight w:val="225"/>
          <w:jc w:val="center"/>
        </w:trPr>
        <w:tc>
          <w:tcPr>
            <w:tcW w:w="2860" w:type="dxa"/>
            <w:tcBorders>
              <w:top w:val="nil"/>
              <w:left w:val="nil"/>
              <w:bottom w:val="nil"/>
              <w:right w:val="nil"/>
            </w:tcBorders>
            <w:shd w:val="clear" w:color="auto" w:fill="auto"/>
            <w:noWrap/>
            <w:vAlign w:val="bottom"/>
            <w:hideMark/>
          </w:tcPr>
          <w:p w:rsidR="008A0AAA" w:rsidRPr="008A0AAA" w:rsidRDefault="008A0AAA" w:rsidP="001B17A0">
            <w:pPr>
              <w:spacing w:after="0"/>
              <w:ind w:firstLineChars="200" w:firstLine="320"/>
              <w:rPr>
                <w:rFonts w:ascii="Arial" w:hAnsi="Arial" w:cs="Arial"/>
                <w:b/>
                <w:bCs/>
                <w:sz w:val="16"/>
                <w:szCs w:val="16"/>
              </w:rPr>
            </w:pPr>
            <w:r w:rsidRPr="008A0AAA">
              <w:rPr>
                <w:rFonts w:ascii="Arial" w:hAnsi="Arial" w:cs="Arial"/>
                <w:b/>
                <w:bCs/>
                <w:sz w:val="16"/>
                <w:szCs w:val="16"/>
              </w:rPr>
              <w:t>Total cash used</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6,769</w:t>
            </w:r>
          </w:p>
        </w:tc>
        <w:tc>
          <w:tcPr>
            <w:tcW w:w="900" w:type="dxa"/>
            <w:tcBorders>
              <w:top w:val="nil"/>
              <w:left w:val="nil"/>
              <w:bottom w:val="single" w:sz="4" w:space="0" w:color="auto"/>
              <w:right w:val="nil"/>
            </w:tcBorders>
            <w:shd w:val="clear" w:color="000000" w:fill="D9D9D9"/>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8,474</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8,664</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8,728</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8,771</w:t>
            </w:r>
          </w:p>
        </w:tc>
      </w:tr>
      <w:tr w:rsidR="008A0AAA" w:rsidRPr="008A0AAA" w:rsidTr="008A0AAA">
        <w:trPr>
          <w:trHeight w:val="454"/>
          <w:jc w:val="center"/>
        </w:trPr>
        <w:tc>
          <w:tcPr>
            <w:tcW w:w="2860" w:type="dxa"/>
            <w:tcBorders>
              <w:top w:val="nil"/>
              <w:left w:val="nil"/>
              <w:bottom w:val="nil"/>
              <w:right w:val="nil"/>
            </w:tcBorders>
            <w:shd w:val="clear" w:color="auto" w:fill="auto"/>
            <w:vAlign w:val="bottom"/>
            <w:hideMark/>
          </w:tcPr>
          <w:p w:rsidR="008A0AAA" w:rsidRPr="008A0AAA" w:rsidRDefault="008A0AAA" w:rsidP="008A0AAA">
            <w:pPr>
              <w:spacing w:after="0"/>
              <w:ind w:leftChars="75" w:left="150"/>
              <w:rPr>
                <w:rFonts w:ascii="Arial" w:hAnsi="Arial" w:cs="Arial"/>
                <w:b/>
                <w:bCs/>
                <w:sz w:val="16"/>
                <w:szCs w:val="16"/>
              </w:rPr>
            </w:pPr>
            <w:r w:rsidRPr="008A0AAA">
              <w:rPr>
                <w:rFonts w:ascii="Arial" w:hAnsi="Arial" w:cs="Arial"/>
                <w:b/>
                <w:bCs/>
                <w:sz w:val="16"/>
                <w:szCs w:val="16"/>
              </w:rPr>
              <w:t>Net cash from (or used by) operating activities</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175</w:t>
            </w:r>
          </w:p>
        </w:tc>
        <w:tc>
          <w:tcPr>
            <w:tcW w:w="900" w:type="dxa"/>
            <w:tcBorders>
              <w:top w:val="nil"/>
              <w:left w:val="nil"/>
              <w:bottom w:val="single" w:sz="4" w:space="0" w:color="auto"/>
              <w:right w:val="nil"/>
            </w:tcBorders>
            <w:shd w:val="clear" w:color="000000" w:fill="D9D9D9"/>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61</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5</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w:t>
            </w:r>
          </w:p>
        </w:tc>
      </w:tr>
      <w:tr w:rsidR="008A0AAA" w:rsidRPr="008A0AAA" w:rsidTr="008A0AAA">
        <w:trPr>
          <w:trHeight w:val="300"/>
          <w:jc w:val="center"/>
        </w:trPr>
        <w:tc>
          <w:tcPr>
            <w:tcW w:w="2860" w:type="dxa"/>
            <w:tcBorders>
              <w:top w:val="nil"/>
              <w:left w:val="nil"/>
              <w:bottom w:val="nil"/>
              <w:right w:val="nil"/>
            </w:tcBorders>
            <w:shd w:val="clear" w:color="auto" w:fill="auto"/>
            <w:noWrap/>
            <w:vAlign w:val="bottom"/>
            <w:hideMark/>
          </w:tcPr>
          <w:p w:rsidR="008A0AAA" w:rsidRPr="008A0AAA" w:rsidRDefault="008A0AAA" w:rsidP="008A0AAA">
            <w:pPr>
              <w:spacing w:after="0"/>
              <w:rPr>
                <w:rFonts w:ascii="Arial" w:hAnsi="Arial" w:cs="Arial"/>
                <w:b/>
                <w:bCs/>
                <w:sz w:val="16"/>
                <w:szCs w:val="16"/>
              </w:rPr>
            </w:pPr>
            <w:r w:rsidRPr="008A0AAA">
              <w:rPr>
                <w:rFonts w:ascii="Arial" w:hAnsi="Arial" w:cs="Arial"/>
                <w:b/>
                <w:bCs/>
                <w:sz w:val="16"/>
                <w:szCs w:val="16"/>
              </w:rPr>
              <w:t>INVESTING ACTIVITIES</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Times New Roman" w:hAnsi="Times New Roman"/>
                <w:color w:val="auto"/>
              </w:rPr>
            </w:pPr>
          </w:p>
        </w:tc>
      </w:tr>
      <w:tr w:rsidR="008A0AAA" w:rsidRPr="008A0AAA" w:rsidTr="003A7495">
        <w:trPr>
          <w:trHeight w:val="255"/>
          <w:jc w:val="center"/>
        </w:trPr>
        <w:tc>
          <w:tcPr>
            <w:tcW w:w="2860" w:type="dxa"/>
            <w:tcBorders>
              <w:top w:val="nil"/>
              <w:left w:val="nil"/>
              <w:bottom w:val="nil"/>
              <w:right w:val="nil"/>
            </w:tcBorders>
            <w:shd w:val="clear" w:color="auto" w:fill="auto"/>
            <w:noWrap/>
            <w:vAlign w:val="bottom"/>
            <w:hideMark/>
          </w:tcPr>
          <w:p w:rsidR="008A0AAA" w:rsidRPr="008A0AAA" w:rsidRDefault="008A0AAA" w:rsidP="001B17A0">
            <w:pPr>
              <w:spacing w:after="0"/>
              <w:ind w:firstLineChars="100" w:firstLine="160"/>
              <w:rPr>
                <w:rFonts w:ascii="Arial" w:hAnsi="Arial" w:cs="Arial"/>
                <w:b/>
                <w:bCs/>
                <w:sz w:val="16"/>
                <w:szCs w:val="16"/>
              </w:rPr>
            </w:pPr>
            <w:r w:rsidRPr="008A0AAA">
              <w:rPr>
                <w:rFonts w:ascii="Arial" w:hAnsi="Arial" w:cs="Arial"/>
                <w:b/>
                <w:bCs/>
                <w:sz w:val="16"/>
                <w:szCs w:val="16"/>
              </w:rPr>
              <w:t>Cash used</w:t>
            </w:r>
          </w:p>
        </w:tc>
        <w:tc>
          <w:tcPr>
            <w:tcW w:w="900" w:type="dxa"/>
            <w:tcBorders>
              <w:top w:val="nil"/>
              <w:left w:val="nil"/>
              <w:bottom w:val="nil"/>
              <w:right w:val="nil"/>
            </w:tcBorders>
            <w:shd w:val="clear" w:color="auto" w:fill="auto"/>
            <w:noWrap/>
            <w:vAlign w:val="bottom"/>
            <w:hideMark/>
          </w:tcPr>
          <w:p w:rsidR="008A0AAA" w:rsidRPr="008A0AAA" w:rsidRDefault="008A0AAA" w:rsidP="001B17A0">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Times New Roman" w:hAnsi="Times New Roman"/>
                <w:color w:val="auto"/>
              </w:rPr>
            </w:pPr>
          </w:p>
        </w:tc>
      </w:tr>
      <w:tr w:rsidR="008A0AAA" w:rsidRPr="008A0AAA" w:rsidTr="008A0AAA">
        <w:trPr>
          <w:trHeight w:val="450"/>
          <w:jc w:val="center"/>
        </w:trPr>
        <w:tc>
          <w:tcPr>
            <w:tcW w:w="2860" w:type="dxa"/>
            <w:tcBorders>
              <w:top w:val="nil"/>
              <w:left w:val="nil"/>
              <w:bottom w:val="nil"/>
              <w:right w:val="nil"/>
            </w:tcBorders>
            <w:shd w:val="clear" w:color="auto" w:fill="auto"/>
            <w:vAlign w:val="bottom"/>
            <w:hideMark/>
          </w:tcPr>
          <w:p w:rsidR="008A0AAA" w:rsidRPr="008A0AAA" w:rsidRDefault="008A0AAA" w:rsidP="008A0AAA">
            <w:pPr>
              <w:spacing w:after="0"/>
              <w:ind w:leftChars="150" w:left="300"/>
              <w:rPr>
                <w:rFonts w:ascii="Arial" w:hAnsi="Arial" w:cs="Arial"/>
                <w:sz w:val="16"/>
                <w:szCs w:val="16"/>
              </w:rPr>
            </w:pPr>
            <w:r w:rsidRPr="008A0AAA">
              <w:rPr>
                <w:rFonts w:ascii="Arial" w:hAnsi="Arial" w:cs="Arial"/>
                <w:sz w:val="16"/>
                <w:szCs w:val="16"/>
              </w:rPr>
              <w:t>Purchase of property, plant and equipment</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237</w:t>
            </w:r>
          </w:p>
        </w:tc>
        <w:tc>
          <w:tcPr>
            <w:tcW w:w="900" w:type="dxa"/>
            <w:tcBorders>
              <w:top w:val="nil"/>
              <w:left w:val="nil"/>
              <w:bottom w:val="nil"/>
              <w:right w:val="nil"/>
            </w:tcBorders>
            <w:shd w:val="clear" w:color="000000" w:fill="D9D9D9"/>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90</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154</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151</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152</w:t>
            </w:r>
          </w:p>
        </w:tc>
      </w:tr>
      <w:tr w:rsidR="008A0AAA" w:rsidRPr="008A0AAA" w:rsidTr="008A0AAA">
        <w:trPr>
          <w:trHeight w:val="225"/>
          <w:jc w:val="center"/>
        </w:trPr>
        <w:tc>
          <w:tcPr>
            <w:tcW w:w="2860" w:type="dxa"/>
            <w:tcBorders>
              <w:top w:val="nil"/>
              <w:left w:val="nil"/>
              <w:bottom w:val="nil"/>
              <w:right w:val="nil"/>
            </w:tcBorders>
            <w:shd w:val="clear" w:color="auto" w:fill="auto"/>
            <w:noWrap/>
            <w:vAlign w:val="bottom"/>
            <w:hideMark/>
          </w:tcPr>
          <w:p w:rsidR="008A0AAA" w:rsidRPr="008A0AAA" w:rsidRDefault="008A0AAA" w:rsidP="001B17A0">
            <w:pPr>
              <w:spacing w:after="0"/>
              <w:ind w:firstLineChars="200" w:firstLine="320"/>
              <w:rPr>
                <w:rFonts w:ascii="Arial" w:hAnsi="Arial" w:cs="Arial"/>
                <w:b/>
                <w:bCs/>
                <w:sz w:val="16"/>
                <w:szCs w:val="16"/>
              </w:rPr>
            </w:pPr>
            <w:r w:rsidRPr="008A0AAA">
              <w:rPr>
                <w:rFonts w:ascii="Arial" w:hAnsi="Arial" w:cs="Arial"/>
                <w:b/>
                <w:bCs/>
                <w:sz w:val="16"/>
                <w:szCs w:val="16"/>
              </w:rPr>
              <w:t>Total cash used</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237</w:t>
            </w:r>
          </w:p>
        </w:tc>
        <w:tc>
          <w:tcPr>
            <w:tcW w:w="900" w:type="dxa"/>
            <w:tcBorders>
              <w:top w:val="nil"/>
              <w:left w:val="nil"/>
              <w:bottom w:val="single" w:sz="4" w:space="0" w:color="auto"/>
              <w:right w:val="nil"/>
            </w:tcBorders>
            <w:shd w:val="clear" w:color="000000" w:fill="D9D9D9"/>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90</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154</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151</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152</w:t>
            </w:r>
          </w:p>
        </w:tc>
      </w:tr>
      <w:tr w:rsidR="008A0AAA" w:rsidRPr="008A0AAA" w:rsidTr="008A0AAA">
        <w:trPr>
          <w:trHeight w:val="454"/>
          <w:jc w:val="center"/>
        </w:trPr>
        <w:tc>
          <w:tcPr>
            <w:tcW w:w="2860" w:type="dxa"/>
            <w:tcBorders>
              <w:top w:val="nil"/>
              <w:left w:val="nil"/>
              <w:bottom w:val="nil"/>
              <w:right w:val="nil"/>
            </w:tcBorders>
            <w:shd w:val="clear" w:color="auto" w:fill="auto"/>
            <w:vAlign w:val="bottom"/>
            <w:hideMark/>
          </w:tcPr>
          <w:p w:rsidR="008A0AAA" w:rsidRPr="008A0AAA" w:rsidRDefault="008A0AAA" w:rsidP="008A0AAA">
            <w:pPr>
              <w:spacing w:after="0"/>
              <w:ind w:leftChars="75" w:left="150"/>
              <w:rPr>
                <w:rFonts w:ascii="Arial" w:hAnsi="Arial" w:cs="Arial"/>
                <w:b/>
                <w:bCs/>
                <w:sz w:val="16"/>
                <w:szCs w:val="16"/>
              </w:rPr>
            </w:pPr>
            <w:r w:rsidRPr="008A0AAA">
              <w:rPr>
                <w:rFonts w:ascii="Arial" w:hAnsi="Arial" w:cs="Arial"/>
                <w:b/>
                <w:bCs/>
                <w:sz w:val="16"/>
                <w:szCs w:val="16"/>
              </w:rPr>
              <w:t>Net cash from (or used by) investing activities</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(237)</w:t>
            </w:r>
          </w:p>
        </w:tc>
        <w:tc>
          <w:tcPr>
            <w:tcW w:w="900" w:type="dxa"/>
            <w:tcBorders>
              <w:top w:val="nil"/>
              <w:left w:val="nil"/>
              <w:bottom w:val="single" w:sz="4" w:space="0" w:color="auto"/>
              <w:right w:val="nil"/>
            </w:tcBorders>
            <w:shd w:val="clear" w:color="000000" w:fill="D9D9D9"/>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(90)</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(154)</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(151)</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(152)</w:t>
            </w:r>
          </w:p>
        </w:tc>
      </w:tr>
      <w:tr w:rsidR="008A0AAA" w:rsidRPr="008A0AAA" w:rsidTr="008A0AAA">
        <w:trPr>
          <w:trHeight w:val="300"/>
          <w:jc w:val="center"/>
        </w:trPr>
        <w:tc>
          <w:tcPr>
            <w:tcW w:w="2860" w:type="dxa"/>
            <w:tcBorders>
              <w:top w:val="nil"/>
              <w:left w:val="nil"/>
              <w:bottom w:val="nil"/>
              <w:right w:val="nil"/>
            </w:tcBorders>
            <w:shd w:val="clear" w:color="auto" w:fill="auto"/>
            <w:noWrap/>
            <w:vAlign w:val="bottom"/>
            <w:hideMark/>
          </w:tcPr>
          <w:p w:rsidR="008A0AAA" w:rsidRPr="008A0AAA" w:rsidRDefault="008A0AAA" w:rsidP="008A0AAA">
            <w:pPr>
              <w:spacing w:after="0"/>
              <w:rPr>
                <w:rFonts w:ascii="Arial" w:hAnsi="Arial" w:cs="Arial"/>
                <w:b/>
                <w:bCs/>
                <w:sz w:val="16"/>
                <w:szCs w:val="16"/>
              </w:rPr>
            </w:pPr>
            <w:r w:rsidRPr="008A0AAA">
              <w:rPr>
                <w:rFonts w:ascii="Arial" w:hAnsi="Arial" w:cs="Arial"/>
                <w:b/>
                <w:bCs/>
                <w:sz w:val="16"/>
                <w:szCs w:val="16"/>
              </w:rPr>
              <w:t>FINANCING ACTIVITIES</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Times New Roman" w:hAnsi="Times New Roman"/>
                <w:color w:val="auto"/>
              </w:rPr>
            </w:pPr>
          </w:p>
        </w:tc>
      </w:tr>
      <w:tr w:rsidR="008A0AAA" w:rsidRPr="008A0AAA" w:rsidTr="003A7495">
        <w:trPr>
          <w:trHeight w:val="255"/>
          <w:jc w:val="center"/>
        </w:trPr>
        <w:tc>
          <w:tcPr>
            <w:tcW w:w="2860" w:type="dxa"/>
            <w:tcBorders>
              <w:top w:val="nil"/>
              <w:left w:val="nil"/>
              <w:bottom w:val="nil"/>
              <w:right w:val="nil"/>
            </w:tcBorders>
            <w:shd w:val="clear" w:color="auto" w:fill="auto"/>
            <w:noWrap/>
            <w:vAlign w:val="bottom"/>
            <w:hideMark/>
          </w:tcPr>
          <w:p w:rsidR="008A0AAA" w:rsidRPr="008A0AAA" w:rsidRDefault="008A0AAA" w:rsidP="001B17A0">
            <w:pPr>
              <w:spacing w:after="0"/>
              <w:ind w:firstLineChars="100" w:firstLine="160"/>
              <w:rPr>
                <w:rFonts w:ascii="Arial" w:hAnsi="Arial" w:cs="Arial"/>
                <w:b/>
                <w:bCs/>
                <w:sz w:val="16"/>
                <w:szCs w:val="16"/>
              </w:rPr>
            </w:pPr>
            <w:r w:rsidRPr="008A0AAA">
              <w:rPr>
                <w:rFonts w:ascii="Arial" w:hAnsi="Arial" w:cs="Arial"/>
                <w:b/>
                <w:bCs/>
                <w:sz w:val="16"/>
                <w:szCs w:val="16"/>
              </w:rPr>
              <w:t>Cash received</w:t>
            </w:r>
          </w:p>
        </w:tc>
        <w:tc>
          <w:tcPr>
            <w:tcW w:w="900" w:type="dxa"/>
            <w:tcBorders>
              <w:top w:val="nil"/>
              <w:left w:val="nil"/>
              <w:bottom w:val="nil"/>
              <w:right w:val="nil"/>
            </w:tcBorders>
            <w:shd w:val="clear" w:color="auto" w:fill="auto"/>
            <w:noWrap/>
            <w:vAlign w:val="bottom"/>
            <w:hideMark/>
          </w:tcPr>
          <w:p w:rsidR="008A0AAA" w:rsidRPr="008A0AAA" w:rsidRDefault="008A0AAA" w:rsidP="001B17A0">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Times New Roman" w:hAnsi="Times New Roman"/>
                <w:color w:val="auto"/>
              </w:rPr>
            </w:pPr>
          </w:p>
        </w:tc>
      </w:tr>
      <w:tr w:rsidR="008A0AAA" w:rsidRPr="008A0AAA" w:rsidTr="008A0AAA">
        <w:trPr>
          <w:trHeight w:val="225"/>
          <w:jc w:val="center"/>
        </w:trPr>
        <w:tc>
          <w:tcPr>
            <w:tcW w:w="2860" w:type="dxa"/>
            <w:tcBorders>
              <w:top w:val="nil"/>
              <w:left w:val="nil"/>
              <w:bottom w:val="nil"/>
              <w:right w:val="nil"/>
            </w:tcBorders>
            <w:shd w:val="clear" w:color="000000" w:fill="FFFFFF"/>
            <w:noWrap/>
            <w:vAlign w:val="bottom"/>
            <w:hideMark/>
          </w:tcPr>
          <w:p w:rsidR="008A0AAA" w:rsidRPr="008A0AAA" w:rsidRDefault="008A0AAA" w:rsidP="008A0AAA">
            <w:pPr>
              <w:spacing w:after="0"/>
              <w:ind w:firstLineChars="200" w:firstLine="320"/>
              <w:rPr>
                <w:rFonts w:ascii="Arial" w:hAnsi="Arial" w:cs="Arial"/>
                <w:color w:val="auto"/>
                <w:sz w:val="16"/>
                <w:szCs w:val="16"/>
              </w:rPr>
            </w:pPr>
            <w:r w:rsidRPr="008A0AAA">
              <w:rPr>
                <w:rFonts w:ascii="Arial" w:hAnsi="Arial" w:cs="Arial"/>
                <w:color w:val="auto"/>
                <w:sz w:val="16"/>
                <w:szCs w:val="16"/>
              </w:rPr>
              <w:t>Capital budget - Bill 1 (DCB)</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62</w:t>
            </w:r>
          </w:p>
        </w:tc>
        <w:tc>
          <w:tcPr>
            <w:tcW w:w="900" w:type="dxa"/>
            <w:tcBorders>
              <w:top w:val="nil"/>
              <w:left w:val="nil"/>
              <w:bottom w:val="nil"/>
              <w:right w:val="nil"/>
            </w:tcBorders>
            <w:shd w:val="clear" w:color="000000" w:fill="D9D9D9"/>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29</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149</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151</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152</w:t>
            </w:r>
          </w:p>
        </w:tc>
      </w:tr>
      <w:tr w:rsidR="008A0AAA" w:rsidRPr="008A0AAA" w:rsidTr="008A0AAA">
        <w:trPr>
          <w:trHeight w:val="225"/>
          <w:jc w:val="center"/>
        </w:trPr>
        <w:tc>
          <w:tcPr>
            <w:tcW w:w="2860" w:type="dxa"/>
            <w:tcBorders>
              <w:top w:val="nil"/>
              <w:left w:val="nil"/>
              <w:bottom w:val="nil"/>
              <w:right w:val="nil"/>
            </w:tcBorders>
            <w:shd w:val="clear" w:color="auto" w:fill="auto"/>
            <w:noWrap/>
            <w:vAlign w:val="bottom"/>
            <w:hideMark/>
          </w:tcPr>
          <w:p w:rsidR="008A0AAA" w:rsidRPr="008A0AAA" w:rsidRDefault="008A0AAA" w:rsidP="001B17A0">
            <w:pPr>
              <w:spacing w:after="0"/>
              <w:ind w:firstLineChars="200" w:firstLine="320"/>
              <w:rPr>
                <w:rFonts w:ascii="Arial" w:hAnsi="Arial" w:cs="Arial"/>
                <w:b/>
                <w:bCs/>
                <w:sz w:val="16"/>
                <w:szCs w:val="16"/>
              </w:rPr>
            </w:pPr>
            <w:r w:rsidRPr="008A0AAA">
              <w:rPr>
                <w:rFonts w:ascii="Arial" w:hAnsi="Arial" w:cs="Arial"/>
                <w:b/>
                <w:bCs/>
                <w:sz w:val="16"/>
                <w:szCs w:val="16"/>
              </w:rPr>
              <w:t>Total cash received</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62</w:t>
            </w:r>
          </w:p>
        </w:tc>
        <w:tc>
          <w:tcPr>
            <w:tcW w:w="900" w:type="dxa"/>
            <w:tcBorders>
              <w:top w:val="nil"/>
              <w:left w:val="nil"/>
              <w:bottom w:val="single" w:sz="4" w:space="0" w:color="auto"/>
              <w:right w:val="nil"/>
            </w:tcBorders>
            <w:shd w:val="clear" w:color="000000" w:fill="D9D9D9"/>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29</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149</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151</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152</w:t>
            </w:r>
          </w:p>
        </w:tc>
      </w:tr>
      <w:tr w:rsidR="008A0AAA" w:rsidRPr="008A0AAA" w:rsidTr="008A0AAA">
        <w:trPr>
          <w:trHeight w:val="454"/>
          <w:jc w:val="center"/>
        </w:trPr>
        <w:tc>
          <w:tcPr>
            <w:tcW w:w="2860" w:type="dxa"/>
            <w:tcBorders>
              <w:top w:val="nil"/>
              <w:left w:val="nil"/>
              <w:bottom w:val="nil"/>
              <w:right w:val="nil"/>
            </w:tcBorders>
            <w:shd w:val="clear" w:color="auto" w:fill="auto"/>
            <w:vAlign w:val="bottom"/>
            <w:hideMark/>
          </w:tcPr>
          <w:p w:rsidR="008A0AAA" w:rsidRPr="008A0AAA" w:rsidRDefault="008A0AAA" w:rsidP="008A0AAA">
            <w:pPr>
              <w:spacing w:after="0"/>
              <w:ind w:leftChars="75" w:left="150"/>
              <w:rPr>
                <w:rFonts w:ascii="Arial" w:hAnsi="Arial" w:cs="Arial"/>
                <w:b/>
                <w:bCs/>
                <w:sz w:val="16"/>
                <w:szCs w:val="16"/>
              </w:rPr>
            </w:pPr>
            <w:r w:rsidRPr="008A0AAA">
              <w:rPr>
                <w:rFonts w:ascii="Arial" w:hAnsi="Arial" w:cs="Arial"/>
                <w:b/>
                <w:bCs/>
                <w:sz w:val="16"/>
                <w:szCs w:val="16"/>
              </w:rPr>
              <w:t>Net cash from (or used by) financing activities</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62</w:t>
            </w:r>
          </w:p>
        </w:tc>
        <w:tc>
          <w:tcPr>
            <w:tcW w:w="900" w:type="dxa"/>
            <w:tcBorders>
              <w:top w:val="nil"/>
              <w:left w:val="nil"/>
              <w:bottom w:val="single" w:sz="4" w:space="0" w:color="auto"/>
              <w:right w:val="nil"/>
            </w:tcBorders>
            <w:shd w:val="clear" w:color="000000" w:fill="D9D9D9"/>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29</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149</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151</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152</w:t>
            </w:r>
          </w:p>
        </w:tc>
      </w:tr>
      <w:tr w:rsidR="008A0AAA" w:rsidRPr="008A0AAA" w:rsidTr="008A0AAA">
        <w:trPr>
          <w:trHeight w:val="454"/>
          <w:jc w:val="center"/>
        </w:trPr>
        <w:tc>
          <w:tcPr>
            <w:tcW w:w="2860" w:type="dxa"/>
            <w:tcBorders>
              <w:top w:val="nil"/>
              <w:left w:val="nil"/>
              <w:bottom w:val="nil"/>
              <w:right w:val="nil"/>
            </w:tcBorders>
            <w:shd w:val="clear" w:color="auto" w:fill="auto"/>
            <w:vAlign w:val="bottom"/>
            <w:hideMark/>
          </w:tcPr>
          <w:p w:rsidR="008A0AAA" w:rsidRPr="008A0AAA" w:rsidRDefault="008A0AAA" w:rsidP="008A0AAA">
            <w:pPr>
              <w:spacing w:after="0"/>
              <w:rPr>
                <w:rFonts w:ascii="Arial" w:hAnsi="Arial" w:cs="Arial"/>
                <w:b/>
                <w:bCs/>
                <w:sz w:val="16"/>
                <w:szCs w:val="16"/>
              </w:rPr>
            </w:pPr>
            <w:r w:rsidRPr="008A0AAA">
              <w:rPr>
                <w:rFonts w:ascii="Arial" w:hAnsi="Arial" w:cs="Arial"/>
                <w:b/>
                <w:bCs/>
                <w:sz w:val="16"/>
                <w:szCs w:val="16"/>
              </w:rPr>
              <w:t>Net</w:t>
            </w:r>
            <w:r w:rsidR="003A7495">
              <w:rPr>
                <w:rFonts w:ascii="Arial" w:hAnsi="Arial" w:cs="Arial"/>
                <w:b/>
                <w:bCs/>
                <w:sz w:val="16"/>
                <w:szCs w:val="16"/>
              </w:rPr>
              <w:t xml:space="preserve"> increase (or decrease) in cash </w:t>
            </w:r>
            <w:r w:rsidRPr="008A0AAA">
              <w:rPr>
                <w:rFonts w:ascii="Arial" w:hAnsi="Arial" w:cs="Arial"/>
                <w:b/>
                <w:bCs/>
                <w:sz w:val="16"/>
                <w:szCs w:val="16"/>
              </w:rPr>
              <w:t>held</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w:t>
            </w:r>
          </w:p>
        </w:tc>
        <w:tc>
          <w:tcPr>
            <w:tcW w:w="900" w:type="dxa"/>
            <w:tcBorders>
              <w:top w:val="nil"/>
              <w:left w:val="nil"/>
              <w:bottom w:val="single" w:sz="4" w:space="0" w:color="auto"/>
              <w:right w:val="nil"/>
            </w:tcBorders>
            <w:shd w:val="clear" w:color="000000" w:fill="D9D9D9"/>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w:t>
            </w:r>
          </w:p>
        </w:tc>
      </w:tr>
      <w:tr w:rsidR="008A0AAA" w:rsidRPr="008A0AAA" w:rsidTr="008A0AAA">
        <w:trPr>
          <w:trHeight w:val="450"/>
          <w:jc w:val="center"/>
        </w:trPr>
        <w:tc>
          <w:tcPr>
            <w:tcW w:w="2860" w:type="dxa"/>
            <w:tcBorders>
              <w:top w:val="nil"/>
              <w:left w:val="nil"/>
              <w:bottom w:val="nil"/>
              <w:right w:val="nil"/>
            </w:tcBorders>
            <w:shd w:val="clear" w:color="auto" w:fill="auto"/>
            <w:vAlign w:val="bottom"/>
            <w:hideMark/>
          </w:tcPr>
          <w:p w:rsidR="008A0AAA" w:rsidRPr="008A0AAA" w:rsidRDefault="008A0AAA" w:rsidP="008A0AAA">
            <w:pPr>
              <w:spacing w:after="0"/>
              <w:ind w:leftChars="75" w:left="150"/>
              <w:rPr>
                <w:rFonts w:ascii="Arial" w:hAnsi="Arial" w:cs="Arial"/>
                <w:sz w:val="16"/>
                <w:szCs w:val="16"/>
              </w:rPr>
            </w:pPr>
            <w:r w:rsidRPr="008A0AAA">
              <w:rPr>
                <w:rFonts w:ascii="Arial" w:hAnsi="Arial" w:cs="Arial"/>
                <w:sz w:val="16"/>
                <w:szCs w:val="16"/>
              </w:rPr>
              <w:t>Cash and cash equivalents at the beginning of the reporting period</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80</w:t>
            </w:r>
          </w:p>
        </w:tc>
        <w:tc>
          <w:tcPr>
            <w:tcW w:w="900" w:type="dxa"/>
            <w:tcBorders>
              <w:top w:val="nil"/>
              <w:left w:val="nil"/>
              <w:bottom w:val="nil"/>
              <w:right w:val="nil"/>
            </w:tcBorders>
            <w:shd w:val="clear" w:color="000000" w:fill="D9D9D9"/>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80</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80</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80</w:t>
            </w:r>
          </w:p>
        </w:tc>
        <w:tc>
          <w:tcPr>
            <w:tcW w:w="900" w:type="dxa"/>
            <w:tcBorders>
              <w:top w:val="nil"/>
              <w:left w:val="nil"/>
              <w:bottom w:val="nil"/>
              <w:right w:val="nil"/>
            </w:tcBorders>
            <w:shd w:val="clear" w:color="auto" w:fill="auto"/>
            <w:noWrap/>
            <w:vAlign w:val="bottom"/>
            <w:hideMark/>
          </w:tcPr>
          <w:p w:rsidR="008A0AAA" w:rsidRPr="008A0AAA" w:rsidRDefault="008A0AAA" w:rsidP="008A0AAA">
            <w:pPr>
              <w:spacing w:after="0"/>
              <w:jc w:val="right"/>
              <w:rPr>
                <w:rFonts w:ascii="Arial" w:hAnsi="Arial" w:cs="Arial"/>
                <w:sz w:val="16"/>
                <w:szCs w:val="16"/>
              </w:rPr>
            </w:pPr>
            <w:r w:rsidRPr="008A0AAA">
              <w:rPr>
                <w:rFonts w:ascii="Arial" w:hAnsi="Arial" w:cs="Arial"/>
                <w:sz w:val="16"/>
                <w:szCs w:val="16"/>
              </w:rPr>
              <w:t>80</w:t>
            </w:r>
          </w:p>
        </w:tc>
      </w:tr>
      <w:tr w:rsidR="008A0AAA" w:rsidRPr="008A0AAA" w:rsidTr="008A0AAA">
        <w:trPr>
          <w:trHeight w:val="454"/>
          <w:jc w:val="center"/>
        </w:trPr>
        <w:tc>
          <w:tcPr>
            <w:tcW w:w="2860" w:type="dxa"/>
            <w:tcBorders>
              <w:top w:val="nil"/>
              <w:left w:val="nil"/>
              <w:bottom w:val="single" w:sz="4" w:space="0" w:color="auto"/>
              <w:right w:val="nil"/>
            </w:tcBorders>
            <w:shd w:val="clear" w:color="auto" w:fill="auto"/>
            <w:vAlign w:val="bottom"/>
            <w:hideMark/>
          </w:tcPr>
          <w:p w:rsidR="008A0AAA" w:rsidRPr="008A0AAA" w:rsidRDefault="008A0AAA" w:rsidP="008A0AAA">
            <w:pPr>
              <w:spacing w:after="0"/>
              <w:rPr>
                <w:rFonts w:ascii="Arial" w:hAnsi="Arial" w:cs="Arial"/>
                <w:b/>
                <w:bCs/>
                <w:sz w:val="16"/>
                <w:szCs w:val="16"/>
              </w:rPr>
            </w:pPr>
            <w:r w:rsidRPr="008A0AAA">
              <w:rPr>
                <w:rFonts w:ascii="Arial" w:hAnsi="Arial" w:cs="Arial"/>
                <w:b/>
                <w:bCs/>
                <w:sz w:val="16"/>
                <w:szCs w:val="16"/>
              </w:rPr>
              <w:t>Cash and cash equivalents at the end of the reporting period</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80</w:t>
            </w:r>
          </w:p>
        </w:tc>
        <w:tc>
          <w:tcPr>
            <w:tcW w:w="900" w:type="dxa"/>
            <w:tcBorders>
              <w:top w:val="nil"/>
              <w:left w:val="nil"/>
              <w:bottom w:val="single" w:sz="4" w:space="0" w:color="auto"/>
              <w:right w:val="nil"/>
            </w:tcBorders>
            <w:shd w:val="clear" w:color="000000" w:fill="D9D9D9"/>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80</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80</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80</w:t>
            </w:r>
          </w:p>
        </w:tc>
        <w:tc>
          <w:tcPr>
            <w:tcW w:w="900" w:type="dxa"/>
            <w:tcBorders>
              <w:top w:val="nil"/>
              <w:left w:val="nil"/>
              <w:bottom w:val="single" w:sz="4" w:space="0" w:color="auto"/>
              <w:right w:val="nil"/>
            </w:tcBorders>
            <w:shd w:val="clear" w:color="auto" w:fill="auto"/>
            <w:noWrap/>
            <w:vAlign w:val="bottom"/>
            <w:hideMark/>
          </w:tcPr>
          <w:p w:rsidR="008A0AAA" w:rsidRPr="008A0AAA" w:rsidRDefault="008A0AAA" w:rsidP="008A0AAA">
            <w:pPr>
              <w:spacing w:after="0"/>
              <w:jc w:val="right"/>
              <w:rPr>
                <w:rFonts w:ascii="Arial" w:hAnsi="Arial" w:cs="Arial"/>
                <w:b/>
                <w:bCs/>
                <w:sz w:val="16"/>
                <w:szCs w:val="16"/>
              </w:rPr>
            </w:pPr>
            <w:r w:rsidRPr="008A0AAA">
              <w:rPr>
                <w:rFonts w:ascii="Arial" w:hAnsi="Arial" w:cs="Arial"/>
                <w:b/>
                <w:bCs/>
                <w:sz w:val="16"/>
                <w:szCs w:val="16"/>
              </w:rPr>
              <w:t>80</w:t>
            </w:r>
          </w:p>
        </w:tc>
      </w:tr>
    </w:tbl>
    <w:p w:rsidR="008A0AAA" w:rsidRPr="008A0AAA" w:rsidRDefault="008A0AAA" w:rsidP="008A0AAA">
      <w:pPr>
        <w:pStyle w:val="FootnoteText"/>
        <w:spacing w:before="120"/>
      </w:pPr>
      <w:r w:rsidRPr="008A0AAA">
        <w:t>DCB = Departmental Capital Budget.</w:t>
      </w:r>
    </w:p>
    <w:p w:rsidR="00234523" w:rsidRDefault="00234523">
      <w:pPr>
        <w:spacing w:after="0"/>
        <w:rPr>
          <w:rFonts w:ascii="Arial" w:hAnsi="Arial" w:cs="Arial"/>
          <w:b/>
          <w:szCs w:val="18"/>
          <w:lang w:eastAsia="en-US"/>
        </w:rPr>
      </w:pPr>
      <w:r>
        <w:br w:type="page"/>
      </w:r>
    </w:p>
    <w:p w:rsidR="00456383" w:rsidRPr="003C3DD3" w:rsidRDefault="00456383" w:rsidP="002308D2">
      <w:pPr>
        <w:pStyle w:val="Tablenumberandreference"/>
      </w:pPr>
      <w:r w:rsidRPr="003C3DD3">
        <w:t>Table 3.5: Departmental Capital Budget Statement (for the period ended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3A7495" w:rsidRPr="003A7495" w:rsidTr="003A7495">
        <w:trPr>
          <w:trHeight w:val="765"/>
          <w:jc w:val="center"/>
        </w:trPr>
        <w:tc>
          <w:tcPr>
            <w:tcW w:w="2860" w:type="dxa"/>
            <w:tcBorders>
              <w:top w:val="single" w:sz="4" w:space="0" w:color="auto"/>
              <w:left w:val="nil"/>
              <w:bottom w:val="nil"/>
              <w:right w:val="nil"/>
            </w:tcBorders>
            <w:shd w:val="clear" w:color="auto" w:fill="auto"/>
            <w:hideMark/>
          </w:tcPr>
          <w:p w:rsidR="003A7495" w:rsidRPr="003A7495" w:rsidRDefault="003A7495" w:rsidP="003A7495">
            <w:pPr>
              <w:spacing w:before="40" w:after="0"/>
              <w:jc w:val="right"/>
              <w:rPr>
                <w:rFonts w:ascii="Times New Roman" w:hAnsi="Times New Roman"/>
                <w:color w:val="auto"/>
                <w:sz w:val="24"/>
                <w:szCs w:val="24"/>
              </w:rPr>
            </w:pPr>
          </w:p>
        </w:tc>
        <w:tc>
          <w:tcPr>
            <w:tcW w:w="900" w:type="dxa"/>
            <w:tcBorders>
              <w:top w:val="single" w:sz="4" w:space="0" w:color="auto"/>
              <w:left w:val="nil"/>
              <w:bottom w:val="single" w:sz="4" w:space="0" w:color="auto"/>
              <w:right w:val="nil"/>
            </w:tcBorders>
            <w:shd w:val="clear" w:color="auto" w:fill="auto"/>
            <w:tcMar>
              <w:left w:w="0" w:type="dxa"/>
            </w:tcMar>
            <w:hideMark/>
          </w:tcPr>
          <w:p w:rsidR="003A7495" w:rsidRPr="003A7495" w:rsidRDefault="003A7495" w:rsidP="003A7495">
            <w:pPr>
              <w:spacing w:before="40" w:after="0"/>
              <w:jc w:val="right"/>
              <w:rPr>
                <w:rFonts w:ascii="Arial" w:hAnsi="Arial" w:cs="Arial"/>
                <w:b/>
                <w:bCs/>
                <w:color w:val="auto"/>
                <w:sz w:val="16"/>
                <w:szCs w:val="16"/>
              </w:rPr>
            </w:pPr>
            <w:r w:rsidRPr="003A7495">
              <w:rPr>
                <w:rFonts w:ascii="Arial" w:hAnsi="Arial" w:cs="Arial"/>
                <w:b/>
                <w:bCs/>
                <w:color w:val="auto"/>
                <w:sz w:val="16"/>
                <w:szCs w:val="16"/>
              </w:rPr>
              <w:t>2018-19 Estimated actual</w:t>
            </w:r>
            <w:r w:rsidRPr="003A7495">
              <w:rPr>
                <w:rFonts w:ascii="Arial" w:hAnsi="Arial" w:cs="Arial"/>
                <w:b/>
                <w:bCs/>
                <w:color w:val="auto"/>
                <w:sz w:val="16"/>
                <w:szCs w:val="16"/>
              </w:rPr>
              <w:br/>
            </w:r>
            <w:r w:rsidRPr="003A7495">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hideMark/>
          </w:tcPr>
          <w:p w:rsidR="003A7495" w:rsidRPr="003A7495" w:rsidRDefault="003A7495" w:rsidP="003A7495">
            <w:pPr>
              <w:spacing w:before="40" w:after="0"/>
              <w:jc w:val="right"/>
              <w:rPr>
                <w:rFonts w:ascii="Arial" w:hAnsi="Arial" w:cs="Arial"/>
                <w:b/>
                <w:bCs/>
                <w:color w:val="auto"/>
                <w:sz w:val="16"/>
                <w:szCs w:val="16"/>
              </w:rPr>
            </w:pPr>
            <w:r w:rsidRPr="003A7495">
              <w:rPr>
                <w:rFonts w:ascii="Arial" w:hAnsi="Arial" w:cs="Arial"/>
                <w:b/>
                <w:bCs/>
                <w:color w:val="auto"/>
                <w:sz w:val="16"/>
                <w:szCs w:val="16"/>
              </w:rPr>
              <w:t xml:space="preserve">2019-20 Budget </w:t>
            </w:r>
            <w:r w:rsidRPr="003A7495">
              <w:rPr>
                <w:rFonts w:ascii="Arial" w:hAnsi="Arial" w:cs="Arial"/>
                <w:b/>
                <w:bCs/>
                <w:color w:val="auto"/>
                <w:sz w:val="16"/>
                <w:szCs w:val="16"/>
              </w:rPr>
              <w:br/>
            </w:r>
            <w:r w:rsidRPr="003A7495">
              <w:rPr>
                <w:rFonts w:ascii="Arial" w:hAnsi="Arial" w:cs="Arial"/>
                <w:b/>
                <w:bCs/>
                <w:color w:val="auto"/>
                <w:sz w:val="16"/>
                <w:szCs w:val="16"/>
              </w:rPr>
              <w:br/>
            </w:r>
            <w:r w:rsidRPr="003A7495">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rsidR="003A7495" w:rsidRPr="003A7495" w:rsidRDefault="003A7495" w:rsidP="003A7495">
            <w:pPr>
              <w:spacing w:before="40" w:after="0"/>
              <w:jc w:val="right"/>
              <w:rPr>
                <w:rFonts w:ascii="Arial" w:hAnsi="Arial" w:cs="Arial"/>
                <w:b/>
                <w:bCs/>
                <w:color w:val="auto"/>
                <w:sz w:val="16"/>
                <w:szCs w:val="16"/>
              </w:rPr>
            </w:pPr>
            <w:r w:rsidRPr="003A7495">
              <w:rPr>
                <w:rFonts w:ascii="Arial" w:hAnsi="Arial" w:cs="Arial"/>
                <w:b/>
                <w:bCs/>
                <w:color w:val="auto"/>
                <w:sz w:val="16"/>
                <w:szCs w:val="16"/>
              </w:rPr>
              <w:t>2020-21 Forward estimate</w:t>
            </w:r>
            <w:r w:rsidRPr="003A7495">
              <w:rPr>
                <w:rFonts w:ascii="Arial" w:hAnsi="Arial" w:cs="Arial"/>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rsidR="003A7495" w:rsidRPr="003A7495" w:rsidRDefault="003A7495" w:rsidP="003A7495">
            <w:pPr>
              <w:spacing w:before="40" w:after="0"/>
              <w:jc w:val="right"/>
              <w:rPr>
                <w:rFonts w:ascii="Arial" w:hAnsi="Arial" w:cs="Arial"/>
                <w:b/>
                <w:bCs/>
                <w:color w:val="auto"/>
                <w:sz w:val="16"/>
                <w:szCs w:val="16"/>
              </w:rPr>
            </w:pPr>
            <w:r w:rsidRPr="003A7495">
              <w:rPr>
                <w:rFonts w:ascii="Arial" w:hAnsi="Arial" w:cs="Arial"/>
                <w:b/>
                <w:bCs/>
                <w:color w:val="auto"/>
                <w:sz w:val="16"/>
                <w:szCs w:val="16"/>
              </w:rPr>
              <w:t>2021-22 Forward estimate</w:t>
            </w:r>
            <w:r w:rsidRPr="003A7495">
              <w:rPr>
                <w:rFonts w:ascii="Arial" w:hAnsi="Arial" w:cs="Arial"/>
                <w:b/>
                <w:bCs/>
                <w:color w:val="auto"/>
                <w:sz w:val="16"/>
                <w:szCs w:val="16"/>
              </w:rPr>
              <w:br/>
            </w:r>
            <w:r w:rsidRPr="003A7495">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rsidR="003A7495" w:rsidRPr="003A7495" w:rsidRDefault="003A7495" w:rsidP="003A7495">
            <w:pPr>
              <w:spacing w:before="40" w:after="0"/>
              <w:jc w:val="right"/>
              <w:rPr>
                <w:rFonts w:ascii="Arial" w:hAnsi="Arial" w:cs="Arial"/>
                <w:b/>
                <w:bCs/>
                <w:color w:val="auto"/>
                <w:sz w:val="16"/>
                <w:szCs w:val="16"/>
              </w:rPr>
            </w:pPr>
            <w:r w:rsidRPr="003A7495">
              <w:rPr>
                <w:rFonts w:ascii="Arial" w:hAnsi="Arial" w:cs="Arial"/>
                <w:b/>
                <w:bCs/>
                <w:color w:val="auto"/>
                <w:sz w:val="16"/>
                <w:szCs w:val="16"/>
              </w:rPr>
              <w:t>2022-23 Forward estimate</w:t>
            </w:r>
            <w:r w:rsidRPr="003A7495">
              <w:rPr>
                <w:rFonts w:ascii="Arial" w:hAnsi="Arial" w:cs="Arial"/>
                <w:b/>
                <w:bCs/>
                <w:color w:val="auto"/>
                <w:sz w:val="16"/>
                <w:szCs w:val="16"/>
              </w:rPr>
              <w:br/>
            </w:r>
            <w:r w:rsidRPr="003A7495">
              <w:rPr>
                <w:rFonts w:ascii="Arial" w:hAnsi="Arial" w:cs="Arial"/>
                <w:color w:val="auto"/>
                <w:sz w:val="16"/>
                <w:szCs w:val="16"/>
              </w:rPr>
              <w:t>$'000</w:t>
            </w:r>
          </w:p>
        </w:tc>
      </w:tr>
      <w:tr w:rsidR="003A7495" w:rsidRPr="003A7495" w:rsidTr="003A7495">
        <w:trPr>
          <w:trHeight w:val="283"/>
          <w:jc w:val="center"/>
        </w:trPr>
        <w:tc>
          <w:tcPr>
            <w:tcW w:w="2860" w:type="dxa"/>
            <w:tcBorders>
              <w:top w:val="nil"/>
              <w:left w:val="nil"/>
              <w:bottom w:val="nil"/>
              <w:right w:val="nil"/>
            </w:tcBorders>
            <w:shd w:val="clear" w:color="000000" w:fill="FFFFFF"/>
            <w:noWrap/>
            <w:vAlign w:val="bottom"/>
            <w:hideMark/>
          </w:tcPr>
          <w:p w:rsidR="003A7495" w:rsidRPr="003A7495" w:rsidRDefault="003A7495" w:rsidP="003A7495">
            <w:pPr>
              <w:spacing w:after="0"/>
              <w:rPr>
                <w:rFonts w:ascii="Arial" w:hAnsi="Arial" w:cs="Arial"/>
                <w:b/>
                <w:bCs/>
                <w:color w:val="auto"/>
                <w:sz w:val="16"/>
                <w:szCs w:val="16"/>
              </w:rPr>
            </w:pPr>
            <w:r w:rsidRPr="003A7495">
              <w:rPr>
                <w:rFonts w:ascii="Arial" w:hAnsi="Arial" w:cs="Arial"/>
                <w:b/>
                <w:bCs/>
                <w:color w:val="auto"/>
                <w:sz w:val="16"/>
                <w:szCs w:val="16"/>
              </w:rPr>
              <w:t>CAPITAL APPROPRIATIONS</w:t>
            </w:r>
          </w:p>
        </w:tc>
        <w:tc>
          <w:tcPr>
            <w:tcW w:w="900" w:type="dxa"/>
            <w:tcBorders>
              <w:top w:val="nil"/>
              <w:left w:val="nil"/>
              <w:bottom w:val="nil"/>
              <w:right w:val="nil"/>
            </w:tcBorders>
            <w:shd w:val="clear" w:color="000000" w:fill="FFFFFF"/>
            <w:noWrap/>
            <w:vAlign w:val="bottom"/>
            <w:hideMark/>
          </w:tcPr>
          <w:p w:rsidR="003A7495" w:rsidRPr="003A7495" w:rsidRDefault="003A7495" w:rsidP="003A7495">
            <w:pPr>
              <w:spacing w:after="0"/>
              <w:jc w:val="right"/>
              <w:rPr>
                <w:rFonts w:ascii="Arial" w:hAnsi="Arial" w:cs="Arial"/>
                <w:color w:val="auto"/>
                <w:sz w:val="16"/>
                <w:szCs w:val="16"/>
              </w:rPr>
            </w:pPr>
            <w:r w:rsidRPr="003A7495">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rsidR="003A7495" w:rsidRPr="003A7495" w:rsidRDefault="003A7495" w:rsidP="003A7495">
            <w:pPr>
              <w:spacing w:after="0"/>
              <w:jc w:val="right"/>
              <w:rPr>
                <w:rFonts w:ascii="Arial" w:hAnsi="Arial" w:cs="Arial"/>
                <w:color w:val="auto"/>
                <w:sz w:val="16"/>
                <w:szCs w:val="16"/>
              </w:rPr>
            </w:pPr>
            <w:r w:rsidRPr="003A7495">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rsidR="003A7495" w:rsidRPr="003A7495" w:rsidRDefault="003A7495" w:rsidP="003A7495">
            <w:pPr>
              <w:spacing w:after="0"/>
              <w:jc w:val="right"/>
              <w:rPr>
                <w:rFonts w:ascii="Arial" w:hAnsi="Arial" w:cs="Arial"/>
                <w:color w:val="auto"/>
                <w:sz w:val="16"/>
                <w:szCs w:val="16"/>
              </w:rPr>
            </w:pPr>
          </w:p>
        </w:tc>
        <w:tc>
          <w:tcPr>
            <w:tcW w:w="900" w:type="dxa"/>
            <w:tcBorders>
              <w:top w:val="nil"/>
              <w:left w:val="nil"/>
              <w:bottom w:val="nil"/>
              <w:right w:val="nil"/>
            </w:tcBorders>
            <w:shd w:val="clear" w:color="000000" w:fill="FFFFFF"/>
            <w:noWrap/>
            <w:vAlign w:val="bottom"/>
            <w:hideMark/>
          </w:tcPr>
          <w:p w:rsidR="003A7495" w:rsidRPr="003A7495" w:rsidRDefault="003A7495" w:rsidP="003A7495">
            <w:pPr>
              <w:spacing w:after="0"/>
              <w:jc w:val="right"/>
              <w:rPr>
                <w:rFonts w:ascii="Arial" w:hAnsi="Arial" w:cs="Arial"/>
                <w:color w:val="auto"/>
                <w:sz w:val="16"/>
                <w:szCs w:val="16"/>
              </w:rPr>
            </w:pPr>
            <w:r w:rsidRPr="003A7495">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rsidR="003A7495" w:rsidRPr="003A7495" w:rsidRDefault="003A7495" w:rsidP="003A7495">
            <w:pPr>
              <w:spacing w:after="0"/>
              <w:jc w:val="right"/>
              <w:rPr>
                <w:rFonts w:ascii="Arial" w:hAnsi="Arial" w:cs="Arial"/>
                <w:color w:val="auto"/>
                <w:sz w:val="16"/>
                <w:szCs w:val="16"/>
              </w:rPr>
            </w:pPr>
            <w:r w:rsidRPr="003A7495">
              <w:rPr>
                <w:rFonts w:ascii="Arial" w:hAnsi="Arial" w:cs="Arial"/>
                <w:color w:val="auto"/>
                <w:sz w:val="16"/>
                <w:szCs w:val="16"/>
              </w:rPr>
              <w:t> </w:t>
            </w:r>
          </w:p>
        </w:tc>
      </w:tr>
      <w:tr w:rsidR="003A7495" w:rsidRPr="003A7495" w:rsidTr="003A7495">
        <w:trPr>
          <w:trHeight w:val="225"/>
          <w:jc w:val="center"/>
        </w:trPr>
        <w:tc>
          <w:tcPr>
            <w:tcW w:w="2860" w:type="dxa"/>
            <w:tcBorders>
              <w:top w:val="nil"/>
              <w:left w:val="nil"/>
              <w:bottom w:val="nil"/>
              <w:right w:val="nil"/>
            </w:tcBorders>
            <w:shd w:val="clear" w:color="000000" w:fill="FFFFFF"/>
            <w:noWrap/>
            <w:vAlign w:val="bottom"/>
            <w:hideMark/>
          </w:tcPr>
          <w:p w:rsidR="003A7495" w:rsidRPr="003A7495" w:rsidRDefault="003A7495" w:rsidP="003A7495">
            <w:pPr>
              <w:spacing w:after="0"/>
              <w:ind w:firstLineChars="100" w:firstLine="160"/>
              <w:rPr>
                <w:rFonts w:ascii="Arial" w:hAnsi="Arial" w:cs="Arial"/>
                <w:color w:val="auto"/>
                <w:sz w:val="16"/>
                <w:szCs w:val="16"/>
              </w:rPr>
            </w:pPr>
            <w:r w:rsidRPr="003A7495">
              <w:rPr>
                <w:rFonts w:ascii="Arial" w:hAnsi="Arial" w:cs="Arial"/>
                <w:color w:val="auto"/>
                <w:sz w:val="16"/>
                <w:szCs w:val="16"/>
              </w:rPr>
              <w:t>Capital budget - Bill 1 (DCB)</w:t>
            </w:r>
          </w:p>
        </w:tc>
        <w:tc>
          <w:tcPr>
            <w:tcW w:w="900" w:type="dxa"/>
            <w:tcBorders>
              <w:top w:val="nil"/>
              <w:left w:val="nil"/>
              <w:bottom w:val="nil"/>
              <w:right w:val="nil"/>
            </w:tcBorders>
            <w:shd w:val="clear" w:color="auto" w:fill="auto"/>
            <w:noWrap/>
            <w:vAlign w:val="bottom"/>
            <w:hideMark/>
          </w:tcPr>
          <w:p w:rsidR="003A7495" w:rsidRPr="003A7495" w:rsidRDefault="003A7495" w:rsidP="003A7495">
            <w:pPr>
              <w:spacing w:after="0"/>
              <w:jc w:val="right"/>
              <w:rPr>
                <w:rFonts w:ascii="Arial" w:hAnsi="Arial" w:cs="Arial"/>
                <w:sz w:val="16"/>
                <w:szCs w:val="16"/>
              </w:rPr>
            </w:pPr>
            <w:r w:rsidRPr="003A7495">
              <w:rPr>
                <w:rFonts w:ascii="Arial" w:hAnsi="Arial" w:cs="Arial"/>
                <w:sz w:val="16"/>
                <w:szCs w:val="16"/>
              </w:rPr>
              <w:t>62</w:t>
            </w:r>
          </w:p>
        </w:tc>
        <w:tc>
          <w:tcPr>
            <w:tcW w:w="900" w:type="dxa"/>
            <w:tcBorders>
              <w:top w:val="nil"/>
              <w:left w:val="nil"/>
              <w:bottom w:val="nil"/>
              <w:right w:val="nil"/>
            </w:tcBorders>
            <w:shd w:val="clear" w:color="000000" w:fill="D9D9D9"/>
            <w:noWrap/>
            <w:vAlign w:val="bottom"/>
            <w:hideMark/>
          </w:tcPr>
          <w:p w:rsidR="003A7495" w:rsidRPr="003A7495" w:rsidRDefault="003A7495" w:rsidP="003A7495">
            <w:pPr>
              <w:spacing w:after="0"/>
              <w:jc w:val="right"/>
              <w:rPr>
                <w:rFonts w:ascii="Arial" w:hAnsi="Arial" w:cs="Arial"/>
                <w:sz w:val="16"/>
                <w:szCs w:val="16"/>
              </w:rPr>
            </w:pPr>
            <w:r w:rsidRPr="003A7495">
              <w:rPr>
                <w:rFonts w:ascii="Arial" w:hAnsi="Arial" w:cs="Arial"/>
                <w:sz w:val="16"/>
                <w:szCs w:val="16"/>
              </w:rPr>
              <w:t>29</w:t>
            </w:r>
          </w:p>
        </w:tc>
        <w:tc>
          <w:tcPr>
            <w:tcW w:w="900" w:type="dxa"/>
            <w:tcBorders>
              <w:top w:val="nil"/>
              <w:left w:val="nil"/>
              <w:bottom w:val="nil"/>
              <w:right w:val="nil"/>
            </w:tcBorders>
            <w:shd w:val="clear" w:color="auto" w:fill="auto"/>
            <w:noWrap/>
            <w:vAlign w:val="bottom"/>
            <w:hideMark/>
          </w:tcPr>
          <w:p w:rsidR="003A7495" w:rsidRPr="003A7495" w:rsidRDefault="003A7495" w:rsidP="003A7495">
            <w:pPr>
              <w:spacing w:after="0"/>
              <w:jc w:val="right"/>
              <w:rPr>
                <w:rFonts w:ascii="Arial" w:hAnsi="Arial" w:cs="Arial"/>
                <w:sz w:val="16"/>
                <w:szCs w:val="16"/>
              </w:rPr>
            </w:pPr>
            <w:r w:rsidRPr="003A7495">
              <w:rPr>
                <w:rFonts w:ascii="Arial" w:hAnsi="Arial" w:cs="Arial"/>
                <w:sz w:val="16"/>
                <w:szCs w:val="16"/>
              </w:rPr>
              <w:t>149</w:t>
            </w:r>
          </w:p>
        </w:tc>
        <w:tc>
          <w:tcPr>
            <w:tcW w:w="900" w:type="dxa"/>
            <w:tcBorders>
              <w:top w:val="nil"/>
              <w:left w:val="nil"/>
              <w:bottom w:val="nil"/>
              <w:right w:val="nil"/>
            </w:tcBorders>
            <w:shd w:val="clear" w:color="auto" w:fill="auto"/>
            <w:noWrap/>
            <w:vAlign w:val="bottom"/>
            <w:hideMark/>
          </w:tcPr>
          <w:p w:rsidR="003A7495" w:rsidRPr="003A7495" w:rsidRDefault="003A7495" w:rsidP="003A7495">
            <w:pPr>
              <w:spacing w:after="0"/>
              <w:jc w:val="right"/>
              <w:rPr>
                <w:rFonts w:ascii="Arial" w:hAnsi="Arial" w:cs="Arial"/>
                <w:sz w:val="16"/>
                <w:szCs w:val="16"/>
              </w:rPr>
            </w:pPr>
            <w:r w:rsidRPr="003A7495">
              <w:rPr>
                <w:rFonts w:ascii="Arial" w:hAnsi="Arial" w:cs="Arial"/>
                <w:sz w:val="16"/>
                <w:szCs w:val="16"/>
              </w:rPr>
              <w:t>151</w:t>
            </w:r>
          </w:p>
        </w:tc>
        <w:tc>
          <w:tcPr>
            <w:tcW w:w="900" w:type="dxa"/>
            <w:tcBorders>
              <w:top w:val="nil"/>
              <w:left w:val="nil"/>
              <w:bottom w:val="nil"/>
              <w:right w:val="nil"/>
            </w:tcBorders>
            <w:shd w:val="clear" w:color="auto" w:fill="auto"/>
            <w:noWrap/>
            <w:vAlign w:val="bottom"/>
            <w:hideMark/>
          </w:tcPr>
          <w:p w:rsidR="003A7495" w:rsidRPr="003A7495" w:rsidRDefault="003A7495" w:rsidP="003A7495">
            <w:pPr>
              <w:spacing w:after="0"/>
              <w:jc w:val="right"/>
              <w:rPr>
                <w:rFonts w:ascii="Arial" w:hAnsi="Arial" w:cs="Arial"/>
                <w:sz w:val="16"/>
                <w:szCs w:val="16"/>
              </w:rPr>
            </w:pPr>
            <w:r w:rsidRPr="003A7495">
              <w:rPr>
                <w:rFonts w:ascii="Arial" w:hAnsi="Arial" w:cs="Arial"/>
                <w:sz w:val="16"/>
                <w:szCs w:val="16"/>
              </w:rPr>
              <w:t>152</w:t>
            </w:r>
          </w:p>
        </w:tc>
      </w:tr>
      <w:tr w:rsidR="003A7495" w:rsidRPr="003A7495" w:rsidTr="003A7495">
        <w:trPr>
          <w:trHeight w:val="225"/>
          <w:jc w:val="center"/>
        </w:trPr>
        <w:tc>
          <w:tcPr>
            <w:tcW w:w="2860" w:type="dxa"/>
            <w:tcBorders>
              <w:top w:val="nil"/>
              <w:left w:val="nil"/>
              <w:bottom w:val="nil"/>
              <w:right w:val="nil"/>
            </w:tcBorders>
            <w:shd w:val="clear" w:color="000000" w:fill="FFFFFF"/>
            <w:noWrap/>
            <w:vAlign w:val="bottom"/>
            <w:hideMark/>
          </w:tcPr>
          <w:p w:rsidR="003A7495" w:rsidRPr="003A7495" w:rsidRDefault="003A7495" w:rsidP="001B17A0">
            <w:pPr>
              <w:spacing w:after="0"/>
              <w:ind w:firstLineChars="100" w:firstLine="160"/>
              <w:rPr>
                <w:rFonts w:ascii="Arial" w:hAnsi="Arial" w:cs="Arial"/>
                <w:b/>
                <w:bCs/>
                <w:color w:val="auto"/>
                <w:sz w:val="16"/>
                <w:szCs w:val="16"/>
              </w:rPr>
            </w:pPr>
            <w:r w:rsidRPr="003A7495">
              <w:rPr>
                <w:rFonts w:ascii="Arial" w:hAnsi="Arial" w:cs="Arial"/>
                <w:b/>
                <w:bCs/>
                <w:color w:val="auto"/>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rsidR="003A7495" w:rsidRPr="003A7495" w:rsidRDefault="003A7495" w:rsidP="003A7495">
            <w:pPr>
              <w:spacing w:after="0"/>
              <w:jc w:val="right"/>
              <w:rPr>
                <w:rFonts w:ascii="Arial" w:hAnsi="Arial" w:cs="Arial"/>
                <w:b/>
                <w:bCs/>
                <w:color w:val="auto"/>
                <w:sz w:val="16"/>
                <w:szCs w:val="16"/>
              </w:rPr>
            </w:pPr>
            <w:r w:rsidRPr="003A7495">
              <w:rPr>
                <w:rFonts w:ascii="Arial" w:hAnsi="Arial" w:cs="Arial"/>
                <w:b/>
                <w:bCs/>
                <w:color w:val="auto"/>
                <w:sz w:val="16"/>
                <w:szCs w:val="16"/>
              </w:rPr>
              <w:t>62</w:t>
            </w:r>
          </w:p>
        </w:tc>
        <w:tc>
          <w:tcPr>
            <w:tcW w:w="900" w:type="dxa"/>
            <w:tcBorders>
              <w:top w:val="nil"/>
              <w:left w:val="nil"/>
              <w:bottom w:val="single" w:sz="4" w:space="0" w:color="auto"/>
              <w:right w:val="nil"/>
            </w:tcBorders>
            <w:shd w:val="clear" w:color="000000" w:fill="D9D9D9"/>
            <w:noWrap/>
            <w:vAlign w:val="bottom"/>
            <w:hideMark/>
          </w:tcPr>
          <w:p w:rsidR="003A7495" w:rsidRPr="003A7495" w:rsidRDefault="003A7495" w:rsidP="003A7495">
            <w:pPr>
              <w:spacing w:after="0"/>
              <w:jc w:val="right"/>
              <w:rPr>
                <w:rFonts w:ascii="Arial" w:hAnsi="Arial" w:cs="Arial"/>
                <w:b/>
                <w:bCs/>
                <w:color w:val="auto"/>
                <w:sz w:val="16"/>
                <w:szCs w:val="16"/>
              </w:rPr>
            </w:pPr>
            <w:r w:rsidRPr="003A7495">
              <w:rPr>
                <w:rFonts w:ascii="Arial" w:hAnsi="Arial" w:cs="Arial"/>
                <w:b/>
                <w:bCs/>
                <w:color w:val="auto"/>
                <w:sz w:val="16"/>
                <w:szCs w:val="16"/>
              </w:rPr>
              <w:t>29</w:t>
            </w:r>
          </w:p>
        </w:tc>
        <w:tc>
          <w:tcPr>
            <w:tcW w:w="900" w:type="dxa"/>
            <w:tcBorders>
              <w:top w:val="nil"/>
              <w:left w:val="nil"/>
              <w:bottom w:val="single" w:sz="4" w:space="0" w:color="auto"/>
              <w:right w:val="nil"/>
            </w:tcBorders>
            <w:shd w:val="clear" w:color="auto" w:fill="auto"/>
            <w:noWrap/>
            <w:vAlign w:val="bottom"/>
            <w:hideMark/>
          </w:tcPr>
          <w:p w:rsidR="003A7495" w:rsidRPr="003A7495" w:rsidRDefault="003A7495" w:rsidP="003A7495">
            <w:pPr>
              <w:spacing w:after="0"/>
              <w:jc w:val="right"/>
              <w:rPr>
                <w:rFonts w:ascii="Arial" w:hAnsi="Arial" w:cs="Arial"/>
                <w:b/>
                <w:bCs/>
                <w:color w:val="auto"/>
                <w:sz w:val="16"/>
                <w:szCs w:val="16"/>
              </w:rPr>
            </w:pPr>
            <w:r w:rsidRPr="003A7495">
              <w:rPr>
                <w:rFonts w:ascii="Arial" w:hAnsi="Arial" w:cs="Arial"/>
                <w:b/>
                <w:bCs/>
                <w:color w:val="auto"/>
                <w:sz w:val="16"/>
                <w:szCs w:val="16"/>
              </w:rPr>
              <w:t>149</w:t>
            </w:r>
          </w:p>
        </w:tc>
        <w:tc>
          <w:tcPr>
            <w:tcW w:w="900" w:type="dxa"/>
            <w:tcBorders>
              <w:top w:val="nil"/>
              <w:left w:val="nil"/>
              <w:bottom w:val="single" w:sz="4" w:space="0" w:color="auto"/>
              <w:right w:val="nil"/>
            </w:tcBorders>
            <w:shd w:val="clear" w:color="auto" w:fill="auto"/>
            <w:noWrap/>
            <w:vAlign w:val="bottom"/>
            <w:hideMark/>
          </w:tcPr>
          <w:p w:rsidR="003A7495" w:rsidRPr="003A7495" w:rsidRDefault="003A7495" w:rsidP="003A7495">
            <w:pPr>
              <w:spacing w:after="0"/>
              <w:jc w:val="right"/>
              <w:rPr>
                <w:rFonts w:ascii="Arial" w:hAnsi="Arial" w:cs="Arial"/>
                <w:b/>
                <w:bCs/>
                <w:color w:val="auto"/>
                <w:sz w:val="16"/>
                <w:szCs w:val="16"/>
              </w:rPr>
            </w:pPr>
            <w:r w:rsidRPr="003A7495">
              <w:rPr>
                <w:rFonts w:ascii="Arial" w:hAnsi="Arial" w:cs="Arial"/>
                <w:b/>
                <w:bCs/>
                <w:color w:val="auto"/>
                <w:sz w:val="16"/>
                <w:szCs w:val="16"/>
              </w:rPr>
              <w:t>151</w:t>
            </w:r>
          </w:p>
        </w:tc>
        <w:tc>
          <w:tcPr>
            <w:tcW w:w="900" w:type="dxa"/>
            <w:tcBorders>
              <w:top w:val="nil"/>
              <w:left w:val="nil"/>
              <w:bottom w:val="single" w:sz="4" w:space="0" w:color="auto"/>
              <w:right w:val="nil"/>
            </w:tcBorders>
            <w:shd w:val="clear" w:color="auto" w:fill="auto"/>
            <w:noWrap/>
            <w:vAlign w:val="bottom"/>
            <w:hideMark/>
          </w:tcPr>
          <w:p w:rsidR="003A7495" w:rsidRPr="003A7495" w:rsidRDefault="003A7495" w:rsidP="003A7495">
            <w:pPr>
              <w:spacing w:after="0"/>
              <w:jc w:val="right"/>
              <w:rPr>
                <w:rFonts w:ascii="Arial" w:hAnsi="Arial" w:cs="Arial"/>
                <w:b/>
                <w:bCs/>
                <w:color w:val="auto"/>
                <w:sz w:val="16"/>
                <w:szCs w:val="16"/>
              </w:rPr>
            </w:pPr>
            <w:r w:rsidRPr="003A7495">
              <w:rPr>
                <w:rFonts w:ascii="Arial" w:hAnsi="Arial" w:cs="Arial"/>
                <w:b/>
                <w:bCs/>
                <w:color w:val="auto"/>
                <w:sz w:val="16"/>
                <w:szCs w:val="16"/>
              </w:rPr>
              <w:t>152</w:t>
            </w:r>
          </w:p>
        </w:tc>
      </w:tr>
      <w:tr w:rsidR="003A7495" w:rsidRPr="003A7495" w:rsidTr="003A7495">
        <w:trPr>
          <w:trHeight w:val="425"/>
          <w:jc w:val="center"/>
        </w:trPr>
        <w:tc>
          <w:tcPr>
            <w:tcW w:w="2860" w:type="dxa"/>
            <w:tcBorders>
              <w:top w:val="nil"/>
              <w:left w:val="nil"/>
              <w:bottom w:val="nil"/>
              <w:right w:val="nil"/>
            </w:tcBorders>
            <w:shd w:val="clear" w:color="000000" w:fill="FFFFFF"/>
            <w:vAlign w:val="bottom"/>
            <w:hideMark/>
          </w:tcPr>
          <w:p w:rsidR="003A7495" w:rsidRPr="003A7495" w:rsidRDefault="003A7495" w:rsidP="003A7495">
            <w:pPr>
              <w:spacing w:after="0"/>
              <w:rPr>
                <w:rFonts w:ascii="Arial" w:hAnsi="Arial" w:cs="Arial"/>
                <w:b/>
                <w:bCs/>
                <w:color w:val="auto"/>
                <w:sz w:val="16"/>
                <w:szCs w:val="16"/>
              </w:rPr>
            </w:pPr>
            <w:r w:rsidRPr="003A7495">
              <w:rPr>
                <w:rFonts w:ascii="Arial" w:hAnsi="Arial" w:cs="Arial"/>
                <w:b/>
                <w:bCs/>
                <w:color w:val="auto"/>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rsidR="003A7495" w:rsidRPr="003A7495" w:rsidRDefault="003A7495" w:rsidP="003A7495">
            <w:pPr>
              <w:spacing w:after="0"/>
              <w:jc w:val="right"/>
              <w:rPr>
                <w:rFonts w:ascii="Arial" w:hAnsi="Arial" w:cs="Arial"/>
                <w:color w:val="auto"/>
                <w:sz w:val="16"/>
                <w:szCs w:val="16"/>
              </w:rPr>
            </w:pPr>
            <w:r w:rsidRPr="003A7495">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rsidR="003A7495" w:rsidRPr="003A7495" w:rsidRDefault="003A7495" w:rsidP="003A7495">
            <w:pPr>
              <w:spacing w:after="0"/>
              <w:jc w:val="right"/>
              <w:rPr>
                <w:rFonts w:ascii="Arial" w:hAnsi="Arial" w:cs="Arial"/>
                <w:color w:val="auto"/>
                <w:sz w:val="16"/>
                <w:szCs w:val="16"/>
              </w:rPr>
            </w:pPr>
            <w:r w:rsidRPr="003A7495">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rsidR="003A7495" w:rsidRPr="003A7495" w:rsidRDefault="003A7495" w:rsidP="003A7495">
            <w:pPr>
              <w:spacing w:after="0"/>
              <w:jc w:val="right"/>
              <w:rPr>
                <w:rFonts w:ascii="Arial" w:hAnsi="Arial" w:cs="Arial"/>
                <w:color w:val="auto"/>
                <w:sz w:val="16"/>
                <w:szCs w:val="16"/>
              </w:rPr>
            </w:pPr>
          </w:p>
        </w:tc>
        <w:tc>
          <w:tcPr>
            <w:tcW w:w="900" w:type="dxa"/>
            <w:tcBorders>
              <w:top w:val="nil"/>
              <w:left w:val="nil"/>
              <w:bottom w:val="nil"/>
              <w:right w:val="nil"/>
            </w:tcBorders>
            <w:shd w:val="clear" w:color="000000" w:fill="FFFFFF"/>
            <w:noWrap/>
            <w:vAlign w:val="bottom"/>
            <w:hideMark/>
          </w:tcPr>
          <w:p w:rsidR="003A7495" w:rsidRPr="003A7495" w:rsidRDefault="003A7495" w:rsidP="003A7495">
            <w:pPr>
              <w:spacing w:after="0"/>
              <w:jc w:val="right"/>
              <w:rPr>
                <w:rFonts w:ascii="Arial" w:hAnsi="Arial" w:cs="Arial"/>
                <w:color w:val="auto"/>
                <w:sz w:val="16"/>
                <w:szCs w:val="16"/>
              </w:rPr>
            </w:pPr>
            <w:r w:rsidRPr="003A7495">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rsidR="003A7495" w:rsidRPr="003A7495" w:rsidRDefault="003A7495" w:rsidP="003A7495">
            <w:pPr>
              <w:spacing w:after="0"/>
              <w:jc w:val="right"/>
              <w:rPr>
                <w:rFonts w:ascii="Arial" w:hAnsi="Arial" w:cs="Arial"/>
                <w:color w:val="auto"/>
                <w:sz w:val="16"/>
                <w:szCs w:val="16"/>
              </w:rPr>
            </w:pPr>
            <w:r w:rsidRPr="003A7495">
              <w:rPr>
                <w:rFonts w:ascii="Arial" w:hAnsi="Arial" w:cs="Arial"/>
                <w:color w:val="auto"/>
                <w:sz w:val="16"/>
                <w:szCs w:val="16"/>
              </w:rPr>
              <w:t> </w:t>
            </w:r>
          </w:p>
        </w:tc>
      </w:tr>
      <w:tr w:rsidR="003A7495" w:rsidRPr="003A7495" w:rsidTr="003A7495">
        <w:trPr>
          <w:trHeight w:val="225"/>
          <w:jc w:val="center"/>
        </w:trPr>
        <w:tc>
          <w:tcPr>
            <w:tcW w:w="2860" w:type="dxa"/>
            <w:tcBorders>
              <w:top w:val="nil"/>
              <w:left w:val="nil"/>
              <w:bottom w:val="nil"/>
              <w:right w:val="nil"/>
            </w:tcBorders>
            <w:shd w:val="clear" w:color="000000" w:fill="FFFFFF"/>
            <w:noWrap/>
            <w:vAlign w:val="bottom"/>
            <w:hideMark/>
          </w:tcPr>
          <w:p w:rsidR="003A7495" w:rsidRPr="003A7495" w:rsidRDefault="003A7495" w:rsidP="003A7495">
            <w:pPr>
              <w:spacing w:after="0"/>
              <w:ind w:firstLineChars="100" w:firstLine="160"/>
              <w:rPr>
                <w:rFonts w:ascii="Arial" w:hAnsi="Arial" w:cs="Arial"/>
                <w:color w:val="auto"/>
                <w:sz w:val="16"/>
                <w:szCs w:val="16"/>
              </w:rPr>
            </w:pPr>
            <w:r w:rsidRPr="003A7495">
              <w:rPr>
                <w:rFonts w:ascii="Arial" w:hAnsi="Arial" w:cs="Arial"/>
                <w:color w:val="auto"/>
                <w:sz w:val="16"/>
                <w:szCs w:val="16"/>
              </w:rPr>
              <w:t>Purchase of non-financial assets</w:t>
            </w:r>
          </w:p>
        </w:tc>
        <w:tc>
          <w:tcPr>
            <w:tcW w:w="900" w:type="dxa"/>
            <w:tcBorders>
              <w:top w:val="nil"/>
              <w:left w:val="nil"/>
              <w:bottom w:val="nil"/>
              <w:right w:val="nil"/>
            </w:tcBorders>
            <w:shd w:val="clear" w:color="auto" w:fill="auto"/>
            <w:noWrap/>
            <w:vAlign w:val="bottom"/>
            <w:hideMark/>
          </w:tcPr>
          <w:p w:rsidR="003A7495" w:rsidRPr="003A7495" w:rsidRDefault="003A7495" w:rsidP="003A7495">
            <w:pPr>
              <w:spacing w:after="0"/>
              <w:jc w:val="right"/>
              <w:rPr>
                <w:rFonts w:ascii="Arial" w:hAnsi="Arial" w:cs="Arial"/>
                <w:sz w:val="16"/>
                <w:szCs w:val="16"/>
              </w:rPr>
            </w:pPr>
            <w:r w:rsidRPr="003A7495">
              <w:rPr>
                <w:rFonts w:ascii="Arial" w:hAnsi="Arial" w:cs="Arial"/>
                <w:sz w:val="16"/>
                <w:szCs w:val="16"/>
              </w:rPr>
              <w:t>62</w:t>
            </w:r>
          </w:p>
        </w:tc>
        <w:tc>
          <w:tcPr>
            <w:tcW w:w="900" w:type="dxa"/>
            <w:tcBorders>
              <w:top w:val="nil"/>
              <w:left w:val="nil"/>
              <w:bottom w:val="nil"/>
              <w:right w:val="nil"/>
            </w:tcBorders>
            <w:shd w:val="clear" w:color="000000" w:fill="D9D9D9"/>
            <w:noWrap/>
            <w:vAlign w:val="bottom"/>
            <w:hideMark/>
          </w:tcPr>
          <w:p w:rsidR="003A7495" w:rsidRPr="003A7495" w:rsidRDefault="003A7495" w:rsidP="003A7495">
            <w:pPr>
              <w:spacing w:after="0"/>
              <w:jc w:val="right"/>
              <w:rPr>
                <w:rFonts w:ascii="Arial" w:hAnsi="Arial" w:cs="Arial"/>
                <w:sz w:val="16"/>
                <w:szCs w:val="16"/>
              </w:rPr>
            </w:pPr>
            <w:r w:rsidRPr="003A7495">
              <w:rPr>
                <w:rFonts w:ascii="Arial" w:hAnsi="Arial" w:cs="Arial"/>
                <w:sz w:val="16"/>
                <w:szCs w:val="16"/>
              </w:rPr>
              <w:t>29</w:t>
            </w:r>
          </w:p>
        </w:tc>
        <w:tc>
          <w:tcPr>
            <w:tcW w:w="900" w:type="dxa"/>
            <w:tcBorders>
              <w:top w:val="nil"/>
              <w:left w:val="nil"/>
              <w:bottom w:val="nil"/>
              <w:right w:val="nil"/>
            </w:tcBorders>
            <w:shd w:val="clear" w:color="auto" w:fill="auto"/>
            <w:noWrap/>
            <w:vAlign w:val="bottom"/>
            <w:hideMark/>
          </w:tcPr>
          <w:p w:rsidR="003A7495" w:rsidRPr="003A7495" w:rsidRDefault="003A7495" w:rsidP="003A7495">
            <w:pPr>
              <w:spacing w:after="0"/>
              <w:jc w:val="right"/>
              <w:rPr>
                <w:rFonts w:ascii="Arial" w:hAnsi="Arial" w:cs="Arial"/>
                <w:sz w:val="16"/>
                <w:szCs w:val="16"/>
              </w:rPr>
            </w:pPr>
            <w:r w:rsidRPr="003A7495">
              <w:rPr>
                <w:rFonts w:ascii="Arial" w:hAnsi="Arial" w:cs="Arial"/>
                <w:sz w:val="16"/>
                <w:szCs w:val="16"/>
              </w:rPr>
              <w:t>149</w:t>
            </w:r>
          </w:p>
        </w:tc>
        <w:tc>
          <w:tcPr>
            <w:tcW w:w="900" w:type="dxa"/>
            <w:tcBorders>
              <w:top w:val="nil"/>
              <w:left w:val="nil"/>
              <w:bottom w:val="nil"/>
              <w:right w:val="nil"/>
            </w:tcBorders>
            <w:shd w:val="clear" w:color="auto" w:fill="auto"/>
            <w:noWrap/>
            <w:vAlign w:val="bottom"/>
            <w:hideMark/>
          </w:tcPr>
          <w:p w:rsidR="003A7495" w:rsidRPr="003A7495" w:rsidRDefault="003A7495" w:rsidP="003A7495">
            <w:pPr>
              <w:spacing w:after="0"/>
              <w:jc w:val="right"/>
              <w:rPr>
                <w:rFonts w:ascii="Arial" w:hAnsi="Arial" w:cs="Arial"/>
                <w:sz w:val="16"/>
                <w:szCs w:val="16"/>
              </w:rPr>
            </w:pPr>
            <w:r w:rsidRPr="003A7495">
              <w:rPr>
                <w:rFonts w:ascii="Arial" w:hAnsi="Arial" w:cs="Arial"/>
                <w:sz w:val="16"/>
                <w:szCs w:val="16"/>
              </w:rPr>
              <w:t>151</w:t>
            </w:r>
          </w:p>
        </w:tc>
        <w:tc>
          <w:tcPr>
            <w:tcW w:w="900" w:type="dxa"/>
            <w:tcBorders>
              <w:top w:val="nil"/>
              <w:left w:val="nil"/>
              <w:bottom w:val="nil"/>
              <w:right w:val="nil"/>
            </w:tcBorders>
            <w:shd w:val="clear" w:color="auto" w:fill="auto"/>
            <w:noWrap/>
            <w:vAlign w:val="bottom"/>
            <w:hideMark/>
          </w:tcPr>
          <w:p w:rsidR="003A7495" w:rsidRPr="003A7495" w:rsidRDefault="003A7495" w:rsidP="003A7495">
            <w:pPr>
              <w:spacing w:after="0"/>
              <w:jc w:val="right"/>
              <w:rPr>
                <w:rFonts w:ascii="Arial" w:hAnsi="Arial" w:cs="Arial"/>
                <w:sz w:val="16"/>
                <w:szCs w:val="16"/>
              </w:rPr>
            </w:pPr>
            <w:r w:rsidRPr="003A7495">
              <w:rPr>
                <w:rFonts w:ascii="Arial" w:hAnsi="Arial" w:cs="Arial"/>
                <w:sz w:val="16"/>
                <w:szCs w:val="16"/>
              </w:rPr>
              <w:t>152</w:t>
            </w:r>
          </w:p>
        </w:tc>
      </w:tr>
      <w:tr w:rsidR="003A7495" w:rsidRPr="003A7495" w:rsidTr="003A7495">
        <w:trPr>
          <w:trHeight w:val="225"/>
          <w:jc w:val="center"/>
        </w:trPr>
        <w:tc>
          <w:tcPr>
            <w:tcW w:w="2860" w:type="dxa"/>
            <w:tcBorders>
              <w:top w:val="nil"/>
              <w:left w:val="nil"/>
              <w:bottom w:val="nil"/>
              <w:right w:val="nil"/>
            </w:tcBorders>
            <w:shd w:val="clear" w:color="000000" w:fill="FFFFFF"/>
            <w:noWrap/>
            <w:vAlign w:val="bottom"/>
            <w:hideMark/>
          </w:tcPr>
          <w:p w:rsidR="003A7495" w:rsidRPr="003A7495" w:rsidRDefault="003A7495" w:rsidP="001B17A0">
            <w:pPr>
              <w:spacing w:after="0"/>
              <w:ind w:firstLineChars="100" w:firstLine="160"/>
              <w:rPr>
                <w:rFonts w:ascii="Arial" w:hAnsi="Arial" w:cs="Arial"/>
                <w:b/>
                <w:bCs/>
                <w:color w:val="auto"/>
                <w:sz w:val="16"/>
                <w:szCs w:val="16"/>
              </w:rPr>
            </w:pPr>
            <w:r w:rsidRPr="003A7495">
              <w:rPr>
                <w:rFonts w:ascii="Arial" w:hAnsi="Arial" w:cs="Arial"/>
                <w:b/>
                <w:bCs/>
                <w:color w:val="auto"/>
                <w:sz w:val="16"/>
                <w:szCs w:val="16"/>
              </w:rPr>
              <w:t>Total items</w:t>
            </w:r>
          </w:p>
        </w:tc>
        <w:tc>
          <w:tcPr>
            <w:tcW w:w="900" w:type="dxa"/>
            <w:tcBorders>
              <w:top w:val="nil"/>
              <w:left w:val="nil"/>
              <w:bottom w:val="single" w:sz="4" w:space="0" w:color="auto"/>
              <w:right w:val="nil"/>
            </w:tcBorders>
            <w:shd w:val="clear" w:color="auto" w:fill="auto"/>
            <w:noWrap/>
            <w:vAlign w:val="bottom"/>
            <w:hideMark/>
          </w:tcPr>
          <w:p w:rsidR="003A7495" w:rsidRPr="003A7495" w:rsidRDefault="003A7495" w:rsidP="003A7495">
            <w:pPr>
              <w:spacing w:after="0"/>
              <w:jc w:val="right"/>
              <w:rPr>
                <w:rFonts w:ascii="Arial" w:hAnsi="Arial" w:cs="Arial"/>
                <w:b/>
                <w:bCs/>
                <w:color w:val="auto"/>
                <w:sz w:val="16"/>
                <w:szCs w:val="16"/>
              </w:rPr>
            </w:pPr>
            <w:r w:rsidRPr="003A7495">
              <w:rPr>
                <w:rFonts w:ascii="Arial" w:hAnsi="Arial" w:cs="Arial"/>
                <w:b/>
                <w:bCs/>
                <w:color w:val="auto"/>
                <w:sz w:val="16"/>
                <w:szCs w:val="16"/>
              </w:rPr>
              <w:t>62</w:t>
            </w:r>
          </w:p>
        </w:tc>
        <w:tc>
          <w:tcPr>
            <w:tcW w:w="900" w:type="dxa"/>
            <w:tcBorders>
              <w:top w:val="nil"/>
              <w:left w:val="nil"/>
              <w:bottom w:val="single" w:sz="4" w:space="0" w:color="auto"/>
              <w:right w:val="nil"/>
            </w:tcBorders>
            <w:shd w:val="clear" w:color="000000" w:fill="D9D9D9"/>
            <w:noWrap/>
            <w:vAlign w:val="bottom"/>
            <w:hideMark/>
          </w:tcPr>
          <w:p w:rsidR="003A7495" w:rsidRPr="003A7495" w:rsidRDefault="003A7495" w:rsidP="003A7495">
            <w:pPr>
              <w:spacing w:after="0"/>
              <w:jc w:val="right"/>
              <w:rPr>
                <w:rFonts w:ascii="Arial" w:hAnsi="Arial" w:cs="Arial"/>
                <w:b/>
                <w:bCs/>
                <w:color w:val="auto"/>
                <w:sz w:val="16"/>
                <w:szCs w:val="16"/>
              </w:rPr>
            </w:pPr>
            <w:r w:rsidRPr="003A7495">
              <w:rPr>
                <w:rFonts w:ascii="Arial" w:hAnsi="Arial" w:cs="Arial"/>
                <w:b/>
                <w:bCs/>
                <w:color w:val="auto"/>
                <w:sz w:val="16"/>
                <w:szCs w:val="16"/>
              </w:rPr>
              <w:t>29</w:t>
            </w:r>
          </w:p>
        </w:tc>
        <w:tc>
          <w:tcPr>
            <w:tcW w:w="900" w:type="dxa"/>
            <w:tcBorders>
              <w:top w:val="nil"/>
              <w:left w:val="nil"/>
              <w:bottom w:val="single" w:sz="4" w:space="0" w:color="auto"/>
              <w:right w:val="nil"/>
            </w:tcBorders>
            <w:shd w:val="clear" w:color="auto" w:fill="auto"/>
            <w:noWrap/>
            <w:vAlign w:val="bottom"/>
            <w:hideMark/>
          </w:tcPr>
          <w:p w:rsidR="003A7495" w:rsidRPr="003A7495" w:rsidRDefault="003A7495" w:rsidP="003A7495">
            <w:pPr>
              <w:spacing w:after="0"/>
              <w:jc w:val="right"/>
              <w:rPr>
                <w:rFonts w:ascii="Arial" w:hAnsi="Arial" w:cs="Arial"/>
                <w:b/>
                <w:bCs/>
                <w:color w:val="auto"/>
                <w:sz w:val="16"/>
                <w:szCs w:val="16"/>
              </w:rPr>
            </w:pPr>
            <w:r w:rsidRPr="003A7495">
              <w:rPr>
                <w:rFonts w:ascii="Arial" w:hAnsi="Arial" w:cs="Arial"/>
                <w:b/>
                <w:bCs/>
                <w:color w:val="auto"/>
                <w:sz w:val="16"/>
                <w:szCs w:val="16"/>
              </w:rPr>
              <w:t>149</w:t>
            </w:r>
          </w:p>
        </w:tc>
        <w:tc>
          <w:tcPr>
            <w:tcW w:w="900" w:type="dxa"/>
            <w:tcBorders>
              <w:top w:val="nil"/>
              <w:left w:val="nil"/>
              <w:bottom w:val="single" w:sz="4" w:space="0" w:color="auto"/>
              <w:right w:val="nil"/>
            </w:tcBorders>
            <w:shd w:val="clear" w:color="auto" w:fill="auto"/>
            <w:noWrap/>
            <w:vAlign w:val="bottom"/>
            <w:hideMark/>
          </w:tcPr>
          <w:p w:rsidR="003A7495" w:rsidRPr="003A7495" w:rsidRDefault="003A7495" w:rsidP="003A7495">
            <w:pPr>
              <w:spacing w:after="0"/>
              <w:jc w:val="right"/>
              <w:rPr>
                <w:rFonts w:ascii="Arial" w:hAnsi="Arial" w:cs="Arial"/>
                <w:b/>
                <w:bCs/>
                <w:color w:val="auto"/>
                <w:sz w:val="16"/>
                <w:szCs w:val="16"/>
              </w:rPr>
            </w:pPr>
            <w:r w:rsidRPr="003A7495">
              <w:rPr>
                <w:rFonts w:ascii="Arial" w:hAnsi="Arial" w:cs="Arial"/>
                <w:b/>
                <w:bCs/>
                <w:color w:val="auto"/>
                <w:sz w:val="16"/>
                <w:szCs w:val="16"/>
              </w:rPr>
              <w:t>151</w:t>
            </w:r>
          </w:p>
        </w:tc>
        <w:tc>
          <w:tcPr>
            <w:tcW w:w="900" w:type="dxa"/>
            <w:tcBorders>
              <w:top w:val="nil"/>
              <w:left w:val="nil"/>
              <w:bottom w:val="single" w:sz="4" w:space="0" w:color="auto"/>
              <w:right w:val="nil"/>
            </w:tcBorders>
            <w:shd w:val="clear" w:color="auto" w:fill="auto"/>
            <w:noWrap/>
            <w:vAlign w:val="bottom"/>
            <w:hideMark/>
          </w:tcPr>
          <w:p w:rsidR="003A7495" w:rsidRPr="003A7495" w:rsidRDefault="003A7495" w:rsidP="003A7495">
            <w:pPr>
              <w:spacing w:after="0"/>
              <w:jc w:val="right"/>
              <w:rPr>
                <w:rFonts w:ascii="Arial" w:hAnsi="Arial" w:cs="Arial"/>
                <w:b/>
                <w:bCs/>
                <w:color w:val="auto"/>
                <w:sz w:val="16"/>
                <w:szCs w:val="16"/>
              </w:rPr>
            </w:pPr>
            <w:r w:rsidRPr="003A7495">
              <w:rPr>
                <w:rFonts w:ascii="Arial" w:hAnsi="Arial" w:cs="Arial"/>
                <w:b/>
                <w:bCs/>
                <w:color w:val="auto"/>
                <w:sz w:val="16"/>
                <w:szCs w:val="16"/>
              </w:rPr>
              <w:t>152</w:t>
            </w:r>
          </w:p>
        </w:tc>
      </w:tr>
      <w:tr w:rsidR="003A7495" w:rsidRPr="003A7495" w:rsidTr="0034688D">
        <w:trPr>
          <w:trHeight w:val="454"/>
          <w:jc w:val="center"/>
        </w:trPr>
        <w:tc>
          <w:tcPr>
            <w:tcW w:w="2860" w:type="dxa"/>
            <w:tcBorders>
              <w:top w:val="nil"/>
              <w:left w:val="nil"/>
              <w:bottom w:val="nil"/>
              <w:right w:val="nil"/>
            </w:tcBorders>
            <w:shd w:val="clear" w:color="000000" w:fill="FFFFFF"/>
            <w:vAlign w:val="bottom"/>
            <w:hideMark/>
          </w:tcPr>
          <w:p w:rsidR="003A7495" w:rsidRPr="003A7495" w:rsidRDefault="003A7495" w:rsidP="003A7495">
            <w:pPr>
              <w:spacing w:after="0"/>
              <w:rPr>
                <w:rFonts w:ascii="Arial" w:hAnsi="Arial" w:cs="Arial"/>
                <w:b/>
                <w:bCs/>
                <w:color w:val="auto"/>
                <w:sz w:val="16"/>
                <w:szCs w:val="16"/>
              </w:rPr>
            </w:pPr>
            <w:r w:rsidRPr="003A7495">
              <w:rPr>
                <w:rFonts w:ascii="Arial" w:hAnsi="Arial" w:cs="Arial"/>
                <w:b/>
                <w:bCs/>
                <w:color w:val="auto"/>
                <w:sz w:val="16"/>
                <w:szCs w:val="16"/>
              </w:rPr>
              <w:t>PURCHASE OF NON-FINANCIAL ASSETS</w:t>
            </w:r>
          </w:p>
        </w:tc>
        <w:tc>
          <w:tcPr>
            <w:tcW w:w="900" w:type="dxa"/>
            <w:tcBorders>
              <w:top w:val="nil"/>
              <w:left w:val="nil"/>
              <w:bottom w:val="nil"/>
              <w:right w:val="nil"/>
            </w:tcBorders>
            <w:shd w:val="clear" w:color="000000" w:fill="FFFFFF"/>
            <w:noWrap/>
            <w:vAlign w:val="bottom"/>
            <w:hideMark/>
          </w:tcPr>
          <w:p w:rsidR="003A7495" w:rsidRPr="003A7495" w:rsidRDefault="003A7495" w:rsidP="003A7495">
            <w:pPr>
              <w:spacing w:after="0"/>
              <w:jc w:val="right"/>
              <w:rPr>
                <w:rFonts w:ascii="Arial" w:hAnsi="Arial" w:cs="Arial"/>
                <w:color w:val="auto"/>
                <w:sz w:val="16"/>
                <w:szCs w:val="16"/>
              </w:rPr>
            </w:pPr>
            <w:r w:rsidRPr="003A7495">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rsidR="003A7495" w:rsidRPr="003A7495" w:rsidRDefault="003A7495" w:rsidP="003A7495">
            <w:pPr>
              <w:spacing w:after="0"/>
              <w:jc w:val="right"/>
              <w:rPr>
                <w:rFonts w:ascii="Arial" w:hAnsi="Arial" w:cs="Arial"/>
                <w:b/>
                <w:bCs/>
                <w:color w:val="auto"/>
                <w:sz w:val="16"/>
                <w:szCs w:val="16"/>
              </w:rPr>
            </w:pPr>
            <w:r w:rsidRPr="003A7495">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rsidR="003A7495" w:rsidRPr="003A7495" w:rsidRDefault="003A7495" w:rsidP="003A7495">
            <w:pPr>
              <w:spacing w:after="0"/>
              <w:jc w:val="right"/>
              <w:rPr>
                <w:rFonts w:ascii="Arial" w:hAnsi="Arial" w:cs="Arial"/>
                <w:b/>
                <w:bCs/>
                <w:color w:val="auto"/>
                <w:sz w:val="16"/>
                <w:szCs w:val="16"/>
              </w:rPr>
            </w:pPr>
          </w:p>
        </w:tc>
        <w:tc>
          <w:tcPr>
            <w:tcW w:w="900" w:type="dxa"/>
            <w:tcBorders>
              <w:top w:val="nil"/>
              <w:left w:val="nil"/>
              <w:bottom w:val="nil"/>
              <w:right w:val="nil"/>
            </w:tcBorders>
            <w:shd w:val="clear" w:color="000000" w:fill="FFFFFF"/>
            <w:noWrap/>
            <w:vAlign w:val="bottom"/>
            <w:hideMark/>
          </w:tcPr>
          <w:p w:rsidR="003A7495" w:rsidRPr="003A7495" w:rsidRDefault="003A7495" w:rsidP="003A7495">
            <w:pPr>
              <w:spacing w:after="0"/>
              <w:jc w:val="right"/>
              <w:rPr>
                <w:rFonts w:ascii="Arial" w:hAnsi="Arial" w:cs="Arial"/>
                <w:color w:val="auto"/>
                <w:sz w:val="16"/>
                <w:szCs w:val="16"/>
              </w:rPr>
            </w:pPr>
            <w:r w:rsidRPr="003A7495">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rsidR="003A7495" w:rsidRPr="003A7495" w:rsidRDefault="003A7495" w:rsidP="003A7495">
            <w:pPr>
              <w:spacing w:after="0"/>
              <w:jc w:val="right"/>
              <w:rPr>
                <w:rFonts w:ascii="Arial" w:hAnsi="Arial" w:cs="Arial"/>
                <w:color w:val="auto"/>
                <w:sz w:val="16"/>
                <w:szCs w:val="16"/>
              </w:rPr>
            </w:pPr>
            <w:r w:rsidRPr="003A7495">
              <w:rPr>
                <w:rFonts w:ascii="Arial" w:hAnsi="Arial" w:cs="Arial"/>
                <w:color w:val="auto"/>
                <w:sz w:val="16"/>
                <w:szCs w:val="16"/>
              </w:rPr>
              <w:t> </w:t>
            </w:r>
          </w:p>
        </w:tc>
      </w:tr>
      <w:tr w:rsidR="003A7495" w:rsidRPr="003A7495" w:rsidTr="003A7495">
        <w:trPr>
          <w:trHeight w:val="425"/>
          <w:jc w:val="center"/>
        </w:trPr>
        <w:tc>
          <w:tcPr>
            <w:tcW w:w="2860" w:type="dxa"/>
            <w:tcBorders>
              <w:top w:val="nil"/>
              <w:left w:val="nil"/>
              <w:bottom w:val="nil"/>
              <w:right w:val="nil"/>
            </w:tcBorders>
            <w:shd w:val="clear" w:color="000000" w:fill="FFFFFF"/>
            <w:vAlign w:val="bottom"/>
            <w:hideMark/>
          </w:tcPr>
          <w:p w:rsidR="003A7495" w:rsidRPr="003A7495" w:rsidRDefault="003A7495" w:rsidP="003A7495">
            <w:pPr>
              <w:spacing w:after="0"/>
              <w:ind w:leftChars="75" w:left="150"/>
              <w:rPr>
                <w:rFonts w:ascii="Arial" w:hAnsi="Arial" w:cs="Arial"/>
                <w:color w:val="auto"/>
                <w:sz w:val="16"/>
                <w:szCs w:val="16"/>
              </w:rPr>
            </w:pPr>
            <w:r w:rsidRPr="003A7495">
              <w:rPr>
                <w:rFonts w:ascii="Arial" w:hAnsi="Arial" w:cs="Arial"/>
                <w:color w:val="auto"/>
                <w:sz w:val="16"/>
                <w:szCs w:val="16"/>
              </w:rPr>
              <w:t xml:space="preserve">Funded by capital appropriation </w:t>
            </w:r>
            <w:r w:rsidR="006659AB">
              <w:rPr>
                <w:rFonts w:ascii="Arial" w:hAnsi="Arial" w:cs="Arial"/>
                <w:color w:val="auto"/>
                <w:sz w:val="16"/>
                <w:szCs w:val="16"/>
              </w:rPr>
              <w:t>-</w:t>
            </w:r>
            <w:r>
              <w:rPr>
                <w:rFonts w:ascii="Arial" w:hAnsi="Arial" w:cs="Arial"/>
                <w:color w:val="auto"/>
                <w:sz w:val="16"/>
                <w:szCs w:val="16"/>
              </w:rPr>
              <w:t> </w:t>
            </w:r>
            <w:r w:rsidRPr="003A7495">
              <w:rPr>
                <w:rFonts w:ascii="Arial" w:hAnsi="Arial" w:cs="Arial"/>
                <w:color w:val="auto"/>
                <w:sz w:val="16"/>
                <w:szCs w:val="16"/>
              </w:rPr>
              <w:t>DCB</w:t>
            </w:r>
            <w:r w:rsidR="0034688D">
              <w:rPr>
                <w:rFonts w:ascii="Arial" w:hAnsi="Arial" w:cs="Arial"/>
                <w:color w:val="auto"/>
                <w:sz w:val="16"/>
                <w:szCs w:val="16"/>
              </w:rPr>
              <w:t xml:space="preserve"> </w:t>
            </w:r>
            <w:r w:rsidR="0034688D" w:rsidRPr="0034688D">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rsidR="003A7495" w:rsidRPr="003A7495" w:rsidRDefault="003A7495" w:rsidP="003A7495">
            <w:pPr>
              <w:spacing w:after="0"/>
              <w:jc w:val="right"/>
              <w:rPr>
                <w:rFonts w:ascii="Arial" w:hAnsi="Arial" w:cs="Arial"/>
                <w:color w:val="auto"/>
                <w:sz w:val="16"/>
                <w:szCs w:val="16"/>
              </w:rPr>
            </w:pPr>
            <w:r w:rsidRPr="003A7495">
              <w:rPr>
                <w:rFonts w:ascii="Arial" w:hAnsi="Arial" w:cs="Arial"/>
                <w:color w:val="auto"/>
                <w:sz w:val="16"/>
                <w:szCs w:val="16"/>
              </w:rPr>
              <w:t>75</w:t>
            </w:r>
          </w:p>
        </w:tc>
        <w:tc>
          <w:tcPr>
            <w:tcW w:w="900" w:type="dxa"/>
            <w:tcBorders>
              <w:top w:val="nil"/>
              <w:left w:val="nil"/>
              <w:bottom w:val="nil"/>
              <w:right w:val="nil"/>
            </w:tcBorders>
            <w:shd w:val="clear" w:color="000000" w:fill="D9D9D9"/>
            <w:noWrap/>
            <w:vAlign w:val="bottom"/>
            <w:hideMark/>
          </w:tcPr>
          <w:p w:rsidR="003A7495" w:rsidRPr="003A7495" w:rsidRDefault="003A7495" w:rsidP="003A7495">
            <w:pPr>
              <w:spacing w:after="0"/>
              <w:jc w:val="right"/>
              <w:rPr>
                <w:rFonts w:ascii="Arial" w:hAnsi="Arial" w:cs="Arial"/>
                <w:color w:val="auto"/>
                <w:sz w:val="16"/>
                <w:szCs w:val="16"/>
              </w:rPr>
            </w:pPr>
            <w:r w:rsidRPr="003A7495">
              <w:rPr>
                <w:rFonts w:ascii="Arial" w:hAnsi="Arial" w:cs="Arial"/>
                <w:color w:val="auto"/>
                <w:sz w:val="16"/>
                <w:szCs w:val="16"/>
              </w:rPr>
              <w:t>29</w:t>
            </w:r>
          </w:p>
        </w:tc>
        <w:tc>
          <w:tcPr>
            <w:tcW w:w="900" w:type="dxa"/>
            <w:tcBorders>
              <w:top w:val="nil"/>
              <w:left w:val="nil"/>
              <w:bottom w:val="nil"/>
              <w:right w:val="nil"/>
            </w:tcBorders>
            <w:shd w:val="clear" w:color="auto" w:fill="auto"/>
            <w:noWrap/>
            <w:vAlign w:val="bottom"/>
            <w:hideMark/>
          </w:tcPr>
          <w:p w:rsidR="003A7495" w:rsidRPr="003A7495" w:rsidRDefault="003A7495" w:rsidP="003A7495">
            <w:pPr>
              <w:spacing w:after="0"/>
              <w:jc w:val="right"/>
              <w:rPr>
                <w:rFonts w:ascii="Arial" w:hAnsi="Arial" w:cs="Arial"/>
                <w:color w:val="auto"/>
                <w:sz w:val="16"/>
                <w:szCs w:val="16"/>
              </w:rPr>
            </w:pPr>
            <w:r w:rsidRPr="003A7495">
              <w:rPr>
                <w:rFonts w:ascii="Arial" w:hAnsi="Arial" w:cs="Arial"/>
                <w:color w:val="auto"/>
                <w:sz w:val="16"/>
                <w:szCs w:val="16"/>
              </w:rPr>
              <w:t>149</w:t>
            </w:r>
          </w:p>
        </w:tc>
        <w:tc>
          <w:tcPr>
            <w:tcW w:w="900" w:type="dxa"/>
            <w:tcBorders>
              <w:top w:val="nil"/>
              <w:left w:val="nil"/>
              <w:bottom w:val="nil"/>
              <w:right w:val="nil"/>
            </w:tcBorders>
            <w:shd w:val="clear" w:color="auto" w:fill="auto"/>
            <w:noWrap/>
            <w:vAlign w:val="bottom"/>
            <w:hideMark/>
          </w:tcPr>
          <w:p w:rsidR="003A7495" w:rsidRPr="003A7495" w:rsidRDefault="003A7495" w:rsidP="003A7495">
            <w:pPr>
              <w:spacing w:after="0"/>
              <w:jc w:val="right"/>
              <w:rPr>
                <w:rFonts w:ascii="Arial" w:hAnsi="Arial" w:cs="Arial"/>
                <w:color w:val="auto"/>
                <w:sz w:val="16"/>
                <w:szCs w:val="16"/>
              </w:rPr>
            </w:pPr>
            <w:r w:rsidRPr="003A7495">
              <w:rPr>
                <w:rFonts w:ascii="Arial" w:hAnsi="Arial" w:cs="Arial"/>
                <w:color w:val="auto"/>
                <w:sz w:val="16"/>
                <w:szCs w:val="16"/>
              </w:rPr>
              <w:t>151</w:t>
            </w:r>
          </w:p>
        </w:tc>
        <w:tc>
          <w:tcPr>
            <w:tcW w:w="900" w:type="dxa"/>
            <w:tcBorders>
              <w:top w:val="nil"/>
              <w:left w:val="nil"/>
              <w:bottom w:val="nil"/>
              <w:right w:val="nil"/>
            </w:tcBorders>
            <w:shd w:val="clear" w:color="auto" w:fill="auto"/>
            <w:noWrap/>
            <w:vAlign w:val="bottom"/>
            <w:hideMark/>
          </w:tcPr>
          <w:p w:rsidR="003A7495" w:rsidRPr="003A7495" w:rsidRDefault="003A7495" w:rsidP="003A7495">
            <w:pPr>
              <w:spacing w:after="0"/>
              <w:jc w:val="right"/>
              <w:rPr>
                <w:rFonts w:ascii="Arial" w:hAnsi="Arial" w:cs="Arial"/>
                <w:color w:val="auto"/>
                <w:sz w:val="16"/>
                <w:szCs w:val="16"/>
              </w:rPr>
            </w:pPr>
            <w:r w:rsidRPr="003A7495">
              <w:rPr>
                <w:rFonts w:ascii="Arial" w:hAnsi="Arial" w:cs="Arial"/>
                <w:color w:val="auto"/>
                <w:sz w:val="16"/>
                <w:szCs w:val="16"/>
              </w:rPr>
              <w:t>152</w:t>
            </w:r>
          </w:p>
        </w:tc>
      </w:tr>
      <w:tr w:rsidR="003A7495" w:rsidRPr="003A7495" w:rsidTr="003A7495">
        <w:trPr>
          <w:trHeight w:val="425"/>
          <w:jc w:val="center"/>
        </w:trPr>
        <w:tc>
          <w:tcPr>
            <w:tcW w:w="2860" w:type="dxa"/>
            <w:tcBorders>
              <w:top w:val="nil"/>
              <w:left w:val="nil"/>
              <w:bottom w:val="nil"/>
              <w:right w:val="nil"/>
            </w:tcBorders>
            <w:shd w:val="clear" w:color="000000" w:fill="FFFFFF"/>
            <w:vAlign w:val="bottom"/>
            <w:hideMark/>
          </w:tcPr>
          <w:p w:rsidR="003A7495" w:rsidRPr="003A7495" w:rsidRDefault="003A7495" w:rsidP="003A7495">
            <w:pPr>
              <w:spacing w:after="0"/>
              <w:ind w:leftChars="75" w:left="150"/>
              <w:rPr>
                <w:rFonts w:ascii="Arial" w:hAnsi="Arial" w:cs="Arial"/>
                <w:color w:val="auto"/>
                <w:sz w:val="16"/>
                <w:szCs w:val="16"/>
              </w:rPr>
            </w:pPr>
            <w:r w:rsidRPr="003A7495">
              <w:rPr>
                <w:rFonts w:ascii="Arial" w:hAnsi="Arial" w:cs="Arial"/>
                <w:color w:val="auto"/>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rsidR="003A7495" w:rsidRPr="003A7495" w:rsidRDefault="003A7495" w:rsidP="003A7495">
            <w:pPr>
              <w:spacing w:after="0"/>
              <w:jc w:val="right"/>
              <w:rPr>
                <w:rFonts w:ascii="Arial" w:hAnsi="Arial" w:cs="Arial"/>
                <w:sz w:val="16"/>
                <w:szCs w:val="16"/>
              </w:rPr>
            </w:pPr>
            <w:r w:rsidRPr="003A7495">
              <w:rPr>
                <w:rFonts w:ascii="Arial" w:hAnsi="Arial" w:cs="Arial"/>
                <w:sz w:val="16"/>
                <w:szCs w:val="16"/>
              </w:rPr>
              <w:t>162</w:t>
            </w:r>
          </w:p>
        </w:tc>
        <w:tc>
          <w:tcPr>
            <w:tcW w:w="900" w:type="dxa"/>
            <w:tcBorders>
              <w:top w:val="nil"/>
              <w:left w:val="nil"/>
              <w:bottom w:val="nil"/>
              <w:right w:val="nil"/>
            </w:tcBorders>
            <w:shd w:val="clear" w:color="000000" w:fill="D9D9D9"/>
            <w:noWrap/>
            <w:vAlign w:val="bottom"/>
            <w:hideMark/>
          </w:tcPr>
          <w:p w:rsidR="003A7495" w:rsidRPr="003A7495" w:rsidRDefault="003A7495" w:rsidP="003A7495">
            <w:pPr>
              <w:spacing w:after="0"/>
              <w:jc w:val="right"/>
              <w:rPr>
                <w:rFonts w:ascii="Arial" w:hAnsi="Arial" w:cs="Arial"/>
                <w:sz w:val="16"/>
                <w:szCs w:val="16"/>
              </w:rPr>
            </w:pPr>
            <w:r w:rsidRPr="003A7495">
              <w:rPr>
                <w:rFonts w:ascii="Arial" w:hAnsi="Arial" w:cs="Arial"/>
                <w:sz w:val="16"/>
                <w:szCs w:val="16"/>
              </w:rPr>
              <w:t>61</w:t>
            </w:r>
          </w:p>
        </w:tc>
        <w:tc>
          <w:tcPr>
            <w:tcW w:w="900" w:type="dxa"/>
            <w:tcBorders>
              <w:top w:val="nil"/>
              <w:left w:val="nil"/>
              <w:bottom w:val="nil"/>
              <w:right w:val="nil"/>
            </w:tcBorders>
            <w:shd w:val="clear" w:color="auto" w:fill="auto"/>
            <w:noWrap/>
            <w:vAlign w:val="bottom"/>
            <w:hideMark/>
          </w:tcPr>
          <w:p w:rsidR="003A7495" w:rsidRPr="003A7495" w:rsidRDefault="003A7495" w:rsidP="003A7495">
            <w:pPr>
              <w:spacing w:after="0"/>
              <w:jc w:val="right"/>
              <w:rPr>
                <w:rFonts w:ascii="Arial" w:hAnsi="Arial" w:cs="Arial"/>
                <w:sz w:val="16"/>
                <w:szCs w:val="16"/>
              </w:rPr>
            </w:pPr>
            <w:r w:rsidRPr="003A7495">
              <w:rPr>
                <w:rFonts w:ascii="Arial" w:hAnsi="Arial" w:cs="Arial"/>
                <w:sz w:val="16"/>
                <w:szCs w:val="16"/>
              </w:rPr>
              <w:t>5</w:t>
            </w:r>
          </w:p>
        </w:tc>
        <w:tc>
          <w:tcPr>
            <w:tcW w:w="900" w:type="dxa"/>
            <w:tcBorders>
              <w:top w:val="nil"/>
              <w:left w:val="nil"/>
              <w:bottom w:val="nil"/>
              <w:right w:val="nil"/>
            </w:tcBorders>
            <w:shd w:val="clear" w:color="auto" w:fill="auto"/>
            <w:noWrap/>
            <w:vAlign w:val="bottom"/>
            <w:hideMark/>
          </w:tcPr>
          <w:p w:rsidR="003A7495" w:rsidRPr="003A7495" w:rsidRDefault="003A7495" w:rsidP="003A7495">
            <w:pPr>
              <w:spacing w:after="0"/>
              <w:jc w:val="right"/>
              <w:rPr>
                <w:rFonts w:ascii="Arial" w:hAnsi="Arial" w:cs="Arial"/>
                <w:sz w:val="16"/>
                <w:szCs w:val="16"/>
              </w:rPr>
            </w:pPr>
            <w:r w:rsidRPr="003A7495">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rsidR="003A7495" w:rsidRPr="003A7495" w:rsidRDefault="003A7495" w:rsidP="003A7495">
            <w:pPr>
              <w:spacing w:after="0"/>
              <w:jc w:val="right"/>
              <w:rPr>
                <w:rFonts w:ascii="Arial" w:hAnsi="Arial" w:cs="Arial"/>
                <w:sz w:val="16"/>
                <w:szCs w:val="16"/>
              </w:rPr>
            </w:pPr>
            <w:r w:rsidRPr="003A7495">
              <w:rPr>
                <w:rFonts w:ascii="Arial" w:hAnsi="Arial" w:cs="Arial"/>
                <w:sz w:val="16"/>
                <w:szCs w:val="16"/>
              </w:rPr>
              <w:t>-</w:t>
            </w:r>
          </w:p>
        </w:tc>
      </w:tr>
      <w:tr w:rsidR="003A7495" w:rsidRPr="003A7495" w:rsidTr="003A7495">
        <w:trPr>
          <w:trHeight w:val="425"/>
          <w:jc w:val="center"/>
        </w:trPr>
        <w:tc>
          <w:tcPr>
            <w:tcW w:w="2860" w:type="dxa"/>
            <w:tcBorders>
              <w:top w:val="nil"/>
              <w:left w:val="nil"/>
              <w:bottom w:val="nil"/>
              <w:right w:val="nil"/>
            </w:tcBorders>
            <w:shd w:val="clear" w:color="000000" w:fill="FFFFFF"/>
            <w:vAlign w:val="bottom"/>
            <w:hideMark/>
          </w:tcPr>
          <w:p w:rsidR="003A7495" w:rsidRPr="003A7495" w:rsidRDefault="003A7495" w:rsidP="003A7495">
            <w:pPr>
              <w:spacing w:after="0"/>
              <w:ind w:leftChars="75" w:left="150"/>
              <w:rPr>
                <w:rFonts w:ascii="Arial" w:hAnsi="Arial" w:cs="Arial"/>
                <w:b/>
                <w:bCs/>
                <w:color w:val="auto"/>
                <w:sz w:val="16"/>
                <w:szCs w:val="16"/>
              </w:rPr>
            </w:pPr>
            <w:r w:rsidRPr="003A7495">
              <w:rPr>
                <w:rFonts w:ascii="Arial" w:hAnsi="Arial" w:cs="Arial"/>
                <w:b/>
                <w:bCs/>
                <w:color w:val="auto"/>
                <w:sz w:val="16"/>
                <w:szCs w:val="16"/>
              </w:rPr>
              <w:t xml:space="preserve">Total acquisitions of </w:t>
            </w:r>
            <w:r w:rsidR="00FA0487">
              <w:rPr>
                <w:rFonts w:ascii="Arial" w:hAnsi="Arial" w:cs="Arial"/>
                <w:b/>
                <w:bCs/>
                <w:color w:val="auto"/>
                <w:sz w:val="16"/>
                <w:szCs w:val="16"/>
              </w:rPr>
              <w:br/>
            </w:r>
            <w:r w:rsidRPr="003A7495">
              <w:rPr>
                <w:rFonts w:ascii="Arial" w:hAnsi="Arial" w:cs="Arial"/>
                <w:b/>
                <w:bCs/>
                <w:color w:val="auto"/>
                <w:sz w:val="16"/>
                <w:szCs w:val="16"/>
              </w:rPr>
              <w:t>non-financial assets</w:t>
            </w:r>
          </w:p>
        </w:tc>
        <w:tc>
          <w:tcPr>
            <w:tcW w:w="900" w:type="dxa"/>
            <w:tcBorders>
              <w:top w:val="nil"/>
              <w:left w:val="nil"/>
              <w:bottom w:val="single" w:sz="4" w:space="0" w:color="auto"/>
              <w:right w:val="nil"/>
            </w:tcBorders>
            <w:shd w:val="clear" w:color="auto" w:fill="auto"/>
            <w:noWrap/>
            <w:vAlign w:val="bottom"/>
            <w:hideMark/>
          </w:tcPr>
          <w:p w:rsidR="003A7495" w:rsidRPr="003A7495" w:rsidRDefault="003A7495" w:rsidP="003A7495">
            <w:pPr>
              <w:spacing w:after="0"/>
              <w:jc w:val="right"/>
              <w:rPr>
                <w:rFonts w:ascii="Arial" w:hAnsi="Arial" w:cs="Arial"/>
                <w:b/>
                <w:bCs/>
                <w:color w:val="auto"/>
                <w:sz w:val="16"/>
                <w:szCs w:val="16"/>
              </w:rPr>
            </w:pPr>
            <w:r w:rsidRPr="003A7495">
              <w:rPr>
                <w:rFonts w:ascii="Arial" w:hAnsi="Arial" w:cs="Arial"/>
                <w:b/>
                <w:bCs/>
                <w:color w:val="auto"/>
                <w:sz w:val="16"/>
                <w:szCs w:val="16"/>
              </w:rPr>
              <w:t>237</w:t>
            </w:r>
          </w:p>
        </w:tc>
        <w:tc>
          <w:tcPr>
            <w:tcW w:w="900" w:type="dxa"/>
            <w:tcBorders>
              <w:top w:val="nil"/>
              <w:left w:val="nil"/>
              <w:bottom w:val="single" w:sz="4" w:space="0" w:color="auto"/>
              <w:right w:val="nil"/>
            </w:tcBorders>
            <w:shd w:val="clear" w:color="000000" w:fill="D9D9D9"/>
            <w:noWrap/>
            <w:vAlign w:val="bottom"/>
            <w:hideMark/>
          </w:tcPr>
          <w:p w:rsidR="003A7495" w:rsidRPr="003A7495" w:rsidRDefault="003A7495" w:rsidP="003A7495">
            <w:pPr>
              <w:spacing w:after="0"/>
              <w:jc w:val="right"/>
              <w:rPr>
                <w:rFonts w:ascii="Arial" w:hAnsi="Arial" w:cs="Arial"/>
                <w:b/>
                <w:bCs/>
                <w:color w:val="auto"/>
                <w:sz w:val="16"/>
                <w:szCs w:val="16"/>
              </w:rPr>
            </w:pPr>
            <w:r w:rsidRPr="003A7495">
              <w:rPr>
                <w:rFonts w:ascii="Arial" w:hAnsi="Arial" w:cs="Arial"/>
                <w:b/>
                <w:bCs/>
                <w:color w:val="auto"/>
                <w:sz w:val="16"/>
                <w:szCs w:val="16"/>
              </w:rPr>
              <w:t>90</w:t>
            </w:r>
          </w:p>
        </w:tc>
        <w:tc>
          <w:tcPr>
            <w:tcW w:w="900" w:type="dxa"/>
            <w:tcBorders>
              <w:top w:val="nil"/>
              <w:left w:val="nil"/>
              <w:bottom w:val="single" w:sz="4" w:space="0" w:color="auto"/>
              <w:right w:val="nil"/>
            </w:tcBorders>
            <w:shd w:val="clear" w:color="auto" w:fill="auto"/>
            <w:noWrap/>
            <w:vAlign w:val="bottom"/>
            <w:hideMark/>
          </w:tcPr>
          <w:p w:rsidR="003A7495" w:rsidRPr="003A7495" w:rsidRDefault="003A7495" w:rsidP="003A7495">
            <w:pPr>
              <w:spacing w:after="0"/>
              <w:jc w:val="right"/>
              <w:rPr>
                <w:rFonts w:ascii="Arial" w:hAnsi="Arial" w:cs="Arial"/>
                <w:b/>
                <w:bCs/>
                <w:color w:val="auto"/>
                <w:sz w:val="16"/>
                <w:szCs w:val="16"/>
              </w:rPr>
            </w:pPr>
            <w:r w:rsidRPr="003A7495">
              <w:rPr>
                <w:rFonts w:ascii="Arial" w:hAnsi="Arial" w:cs="Arial"/>
                <w:b/>
                <w:bCs/>
                <w:color w:val="auto"/>
                <w:sz w:val="16"/>
                <w:szCs w:val="16"/>
              </w:rPr>
              <w:t>154</w:t>
            </w:r>
          </w:p>
        </w:tc>
        <w:tc>
          <w:tcPr>
            <w:tcW w:w="900" w:type="dxa"/>
            <w:tcBorders>
              <w:top w:val="nil"/>
              <w:left w:val="nil"/>
              <w:bottom w:val="single" w:sz="4" w:space="0" w:color="auto"/>
              <w:right w:val="nil"/>
            </w:tcBorders>
            <w:shd w:val="clear" w:color="auto" w:fill="auto"/>
            <w:noWrap/>
            <w:vAlign w:val="bottom"/>
            <w:hideMark/>
          </w:tcPr>
          <w:p w:rsidR="003A7495" w:rsidRPr="003A7495" w:rsidRDefault="003A7495" w:rsidP="003A7495">
            <w:pPr>
              <w:spacing w:after="0"/>
              <w:jc w:val="right"/>
              <w:rPr>
                <w:rFonts w:ascii="Arial" w:hAnsi="Arial" w:cs="Arial"/>
                <w:b/>
                <w:bCs/>
                <w:color w:val="auto"/>
                <w:sz w:val="16"/>
                <w:szCs w:val="16"/>
              </w:rPr>
            </w:pPr>
            <w:r w:rsidRPr="003A7495">
              <w:rPr>
                <w:rFonts w:ascii="Arial" w:hAnsi="Arial" w:cs="Arial"/>
                <w:b/>
                <w:bCs/>
                <w:color w:val="auto"/>
                <w:sz w:val="16"/>
                <w:szCs w:val="16"/>
              </w:rPr>
              <w:t>151</w:t>
            </w:r>
          </w:p>
        </w:tc>
        <w:tc>
          <w:tcPr>
            <w:tcW w:w="900" w:type="dxa"/>
            <w:tcBorders>
              <w:top w:val="nil"/>
              <w:left w:val="nil"/>
              <w:bottom w:val="single" w:sz="4" w:space="0" w:color="auto"/>
              <w:right w:val="nil"/>
            </w:tcBorders>
            <w:shd w:val="clear" w:color="auto" w:fill="auto"/>
            <w:noWrap/>
            <w:vAlign w:val="bottom"/>
            <w:hideMark/>
          </w:tcPr>
          <w:p w:rsidR="003A7495" w:rsidRPr="003A7495" w:rsidRDefault="003A7495" w:rsidP="003A7495">
            <w:pPr>
              <w:spacing w:after="0"/>
              <w:jc w:val="right"/>
              <w:rPr>
                <w:rFonts w:ascii="Arial" w:hAnsi="Arial" w:cs="Arial"/>
                <w:b/>
                <w:bCs/>
                <w:color w:val="auto"/>
                <w:sz w:val="16"/>
                <w:szCs w:val="16"/>
              </w:rPr>
            </w:pPr>
            <w:r w:rsidRPr="003A7495">
              <w:rPr>
                <w:rFonts w:ascii="Arial" w:hAnsi="Arial" w:cs="Arial"/>
                <w:b/>
                <w:bCs/>
                <w:color w:val="auto"/>
                <w:sz w:val="16"/>
                <w:szCs w:val="16"/>
              </w:rPr>
              <w:t>152</w:t>
            </w:r>
          </w:p>
        </w:tc>
      </w:tr>
      <w:tr w:rsidR="003A7495" w:rsidRPr="003A7495" w:rsidTr="0034688D">
        <w:trPr>
          <w:trHeight w:val="680"/>
          <w:jc w:val="center"/>
        </w:trPr>
        <w:tc>
          <w:tcPr>
            <w:tcW w:w="2860" w:type="dxa"/>
            <w:tcBorders>
              <w:top w:val="nil"/>
              <w:left w:val="nil"/>
              <w:bottom w:val="nil"/>
              <w:right w:val="nil"/>
            </w:tcBorders>
            <w:shd w:val="clear" w:color="000000" w:fill="FFFFFF"/>
            <w:vAlign w:val="bottom"/>
            <w:hideMark/>
          </w:tcPr>
          <w:p w:rsidR="003A7495" w:rsidRPr="003A7495" w:rsidRDefault="003A7495" w:rsidP="003A7495">
            <w:pPr>
              <w:spacing w:after="0"/>
              <w:rPr>
                <w:rFonts w:ascii="Arial" w:hAnsi="Arial" w:cs="Arial"/>
                <w:b/>
                <w:bCs/>
                <w:color w:val="auto"/>
                <w:sz w:val="16"/>
                <w:szCs w:val="16"/>
              </w:rPr>
            </w:pPr>
            <w:r w:rsidRPr="003A7495">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rsidR="003A7495" w:rsidRPr="003A7495" w:rsidRDefault="003A7495" w:rsidP="003A7495">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rsidR="003A7495" w:rsidRPr="003A7495" w:rsidRDefault="003A7495" w:rsidP="003A7495">
            <w:pPr>
              <w:spacing w:after="0"/>
              <w:jc w:val="right"/>
              <w:rPr>
                <w:rFonts w:ascii="Arial" w:hAnsi="Arial" w:cs="Arial"/>
                <w:b/>
                <w:bCs/>
                <w:color w:val="auto"/>
                <w:sz w:val="16"/>
                <w:szCs w:val="16"/>
              </w:rPr>
            </w:pPr>
            <w:r w:rsidRPr="003A7495">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rsidR="003A7495" w:rsidRPr="003A7495" w:rsidRDefault="003A7495" w:rsidP="003A7495">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rsidR="003A7495" w:rsidRPr="003A7495" w:rsidRDefault="003A7495" w:rsidP="003A7495">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rsidR="003A7495" w:rsidRPr="003A7495" w:rsidRDefault="003A7495" w:rsidP="003A7495">
            <w:pPr>
              <w:spacing w:after="0"/>
              <w:jc w:val="right"/>
              <w:rPr>
                <w:rFonts w:ascii="Times New Roman" w:hAnsi="Times New Roman"/>
                <w:color w:val="auto"/>
              </w:rPr>
            </w:pPr>
          </w:p>
        </w:tc>
      </w:tr>
      <w:tr w:rsidR="003A7495" w:rsidRPr="003A7495" w:rsidTr="003A7495">
        <w:trPr>
          <w:trHeight w:val="225"/>
          <w:jc w:val="center"/>
        </w:trPr>
        <w:tc>
          <w:tcPr>
            <w:tcW w:w="2860" w:type="dxa"/>
            <w:tcBorders>
              <w:top w:val="nil"/>
              <w:left w:val="nil"/>
              <w:bottom w:val="nil"/>
              <w:right w:val="nil"/>
            </w:tcBorders>
            <w:shd w:val="clear" w:color="000000" w:fill="FFFFFF"/>
            <w:noWrap/>
            <w:vAlign w:val="bottom"/>
            <w:hideMark/>
          </w:tcPr>
          <w:p w:rsidR="003A7495" w:rsidRPr="003A7495" w:rsidRDefault="003A7495" w:rsidP="003A7495">
            <w:pPr>
              <w:spacing w:after="0"/>
              <w:ind w:firstLineChars="100" w:firstLine="160"/>
              <w:rPr>
                <w:rFonts w:ascii="Arial" w:hAnsi="Arial" w:cs="Arial"/>
                <w:color w:val="auto"/>
                <w:sz w:val="16"/>
                <w:szCs w:val="16"/>
              </w:rPr>
            </w:pPr>
            <w:r w:rsidRPr="003A7495">
              <w:rPr>
                <w:rFonts w:ascii="Arial" w:hAnsi="Arial" w:cs="Arial"/>
                <w:color w:val="auto"/>
                <w:sz w:val="16"/>
                <w:szCs w:val="16"/>
              </w:rPr>
              <w:t>Total purchases</w:t>
            </w:r>
          </w:p>
        </w:tc>
        <w:tc>
          <w:tcPr>
            <w:tcW w:w="900" w:type="dxa"/>
            <w:tcBorders>
              <w:top w:val="nil"/>
              <w:left w:val="nil"/>
              <w:bottom w:val="single" w:sz="4" w:space="0" w:color="auto"/>
              <w:right w:val="nil"/>
            </w:tcBorders>
            <w:shd w:val="clear" w:color="auto" w:fill="auto"/>
            <w:noWrap/>
            <w:vAlign w:val="bottom"/>
            <w:hideMark/>
          </w:tcPr>
          <w:p w:rsidR="003A7495" w:rsidRPr="003A7495" w:rsidRDefault="003A7495" w:rsidP="003A7495">
            <w:pPr>
              <w:spacing w:after="0"/>
              <w:jc w:val="right"/>
              <w:rPr>
                <w:rFonts w:ascii="Arial" w:hAnsi="Arial" w:cs="Arial"/>
                <w:color w:val="auto"/>
                <w:sz w:val="16"/>
                <w:szCs w:val="16"/>
              </w:rPr>
            </w:pPr>
            <w:r w:rsidRPr="003A7495">
              <w:rPr>
                <w:rFonts w:ascii="Arial" w:hAnsi="Arial" w:cs="Arial"/>
                <w:color w:val="auto"/>
                <w:sz w:val="16"/>
                <w:szCs w:val="16"/>
              </w:rPr>
              <w:t>237</w:t>
            </w:r>
          </w:p>
        </w:tc>
        <w:tc>
          <w:tcPr>
            <w:tcW w:w="900" w:type="dxa"/>
            <w:tcBorders>
              <w:top w:val="nil"/>
              <w:left w:val="nil"/>
              <w:bottom w:val="single" w:sz="4" w:space="0" w:color="auto"/>
              <w:right w:val="nil"/>
            </w:tcBorders>
            <w:shd w:val="clear" w:color="000000" w:fill="D9D9D9"/>
            <w:noWrap/>
            <w:vAlign w:val="bottom"/>
            <w:hideMark/>
          </w:tcPr>
          <w:p w:rsidR="003A7495" w:rsidRPr="003A7495" w:rsidRDefault="003A7495" w:rsidP="003A7495">
            <w:pPr>
              <w:spacing w:after="0"/>
              <w:jc w:val="right"/>
              <w:rPr>
                <w:rFonts w:ascii="Arial" w:hAnsi="Arial" w:cs="Arial"/>
                <w:color w:val="auto"/>
                <w:sz w:val="16"/>
                <w:szCs w:val="16"/>
              </w:rPr>
            </w:pPr>
            <w:r w:rsidRPr="003A7495">
              <w:rPr>
                <w:rFonts w:ascii="Arial" w:hAnsi="Arial" w:cs="Arial"/>
                <w:color w:val="auto"/>
                <w:sz w:val="16"/>
                <w:szCs w:val="16"/>
              </w:rPr>
              <w:t>90</w:t>
            </w:r>
          </w:p>
        </w:tc>
        <w:tc>
          <w:tcPr>
            <w:tcW w:w="900" w:type="dxa"/>
            <w:tcBorders>
              <w:top w:val="nil"/>
              <w:left w:val="nil"/>
              <w:bottom w:val="single" w:sz="4" w:space="0" w:color="auto"/>
              <w:right w:val="nil"/>
            </w:tcBorders>
            <w:shd w:val="clear" w:color="auto" w:fill="auto"/>
            <w:noWrap/>
            <w:vAlign w:val="bottom"/>
            <w:hideMark/>
          </w:tcPr>
          <w:p w:rsidR="003A7495" w:rsidRPr="003A7495" w:rsidRDefault="003A7495" w:rsidP="003A7495">
            <w:pPr>
              <w:spacing w:after="0"/>
              <w:jc w:val="right"/>
              <w:rPr>
                <w:rFonts w:ascii="Arial" w:hAnsi="Arial" w:cs="Arial"/>
                <w:color w:val="auto"/>
                <w:sz w:val="16"/>
                <w:szCs w:val="16"/>
              </w:rPr>
            </w:pPr>
            <w:r w:rsidRPr="003A7495">
              <w:rPr>
                <w:rFonts w:ascii="Arial" w:hAnsi="Arial" w:cs="Arial"/>
                <w:color w:val="auto"/>
                <w:sz w:val="16"/>
                <w:szCs w:val="16"/>
              </w:rPr>
              <w:t>154</w:t>
            </w:r>
          </w:p>
        </w:tc>
        <w:tc>
          <w:tcPr>
            <w:tcW w:w="900" w:type="dxa"/>
            <w:tcBorders>
              <w:top w:val="nil"/>
              <w:left w:val="nil"/>
              <w:bottom w:val="single" w:sz="4" w:space="0" w:color="auto"/>
              <w:right w:val="nil"/>
            </w:tcBorders>
            <w:shd w:val="clear" w:color="auto" w:fill="auto"/>
            <w:noWrap/>
            <w:vAlign w:val="bottom"/>
            <w:hideMark/>
          </w:tcPr>
          <w:p w:rsidR="003A7495" w:rsidRPr="003A7495" w:rsidRDefault="003A7495" w:rsidP="003A7495">
            <w:pPr>
              <w:spacing w:after="0"/>
              <w:jc w:val="right"/>
              <w:rPr>
                <w:rFonts w:ascii="Arial" w:hAnsi="Arial" w:cs="Arial"/>
                <w:color w:val="auto"/>
                <w:sz w:val="16"/>
                <w:szCs w:val="16"/>
              </w:rPr>
            </w:pPr>
            <w:r w:rsidRPr="003A7495">
              <w:rPr>
                <w:rFonts w:ascii="Arial" w:hAnsi="Arial" w:cs="Arial"/>
                <w:color w:val="auto"/>
                <w:sz w:val="16"/>
                <w:szCs w:val="16"/>
              </w:rPr>
              <w:t>151</w:t>
            </w:r>
          </w:p>
        </w:tc>
        <w:tc>
          <w:tcPr>
            <w:tcW w:w="900" w:type="dxa"/>
            <w:tcBorders>
              <w:top w:val="nil"/>
              <w:left w:val="nil"/>
              <w:bottom w:val="single" w:sz="4" w:space="0" w:color="auto"/>
              <w:right w:val="nil"/>
            </w:tcBorders>
            <w:shd w:val="clear" w:color="auto" w:fill="auto"/>
            <w:noWrap/>
            <w:vAlign w:val="bottom"/>
            <w:hideMark/>
          </w:tcPr>
          <w:p w:rsidR="003A7495" w:rsidRPr="003A7495" w:rsidRDefault="003A7495" w:rsidP="003A7495">
            <w:pPr>
              <w:spacing w:after="0"/>
              <w:jc w:val="right"/>
              <w:rPr>
                <w:rFonts w:ascii="Arial" w:hAnsi="Arial" w:cs="Arial"/>
                <w:color w:val="auto"/>
                <w:sz w:val="16"/>
                <w:szCs w:val="16"/>
              </w:rPr>
            </w:pPr>
            <w:r w:rsidRPr="003A7495">
              <w:rPr>
                <w:rFonts w:ascii="Arial" w:hAnsi="Arial" w:cs="Arial"/>
                <w:color w:val="auto"/>
                <w:sz w:val="16"/>
                <w:szCs w:val="16"/>
              </w:rPr>
              <w:t>152</w:t>
            </w:r>
          </w:p>
        </w:tc>
      </w:tr>
      <w:tr w:rsidR="003A7495" w:rsidRPr="003A7495" w:rsidTr="003A7495">
        <w:trPr>
          <w:trHeight w:val="425"/>
          <w:jc w:val="center"/>
        </w:trPr>
        <w:tc>
          <w:tcPr>
            <w:tcW w:w="2860" w:type="dxa"/>
            <w:tcBorders>
              <w:top w:val="nil"/>
              <w:left w:val="nil"/>
              <w:bottom w:val="single" w:sz="4" w:space="0" w:color="auto"/>
              <w:right w:val="nil"/>
            </w:tcBorders>
            <w:shd w:val="clear" w:color="000000" w:fill="FFFFFF"/>
            <w:vAlign w:val="bottom"/>
            <w:hideMark/>
          </w:tcPr>
          <w:p w:rsidR="003A7495" w:rsidRPr="003A7495" w:rsidRDefault="003A7495" w:rsidP="003A7495">
            <w:pPr>
              <w:spacing w:after="0"/>
              <w:ind w:leftChars="75" w:left="150"/>
              <w:rPr>
                <w:rFonts w:ascii="Arial" w:hAnsi="Arial" w:cs="Arial"/>
                <w:b/>
                <w:bCs/>
                <w:color w:val="auto"/>
                <w:sz w:val="16"/>
                <w:szCs w:val="16"/>
              </w:rPr>
            </w:pPr>
            <w:r w:rsidRPr="003A7495">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rsidR="003A7495" w:rsidRPr="003A7495" w:rsidRDefault="003A7495" w:rsidP="003A7495">
            <w:pPr>
              <w:spacing w:after="0"/>
              <w:jc w:val="right"/>
              <w:rPr>
                <w:rFonts w:ascii="Arial" w:hAnsi="Arial" w:cs="Arial"/>
                <w:b/>
                <w:bCs/>
                <w:color w:val="auto"/>
                <w:sz w:val="16"/>
                <w:szCs w:val="16"/>
              </w:rPr>
            </w:pPr>
            <w:r w:rsidRPr="003A7495">
              <w:rPr>
                <w:rFonts w:ascii="Arial" w:hAnsi="Arial" w:cs="Arial"/>
                <w:b/>
                <w:bCs/>
                <w:color w:val="auto"/>
                <w:sz w:val="16"/>
                <w:szCs w:val="16"/>
              </w:rPr>
              <w:t>237</w:t>
            </w:r>
          </w:p>
        </w:tc>
        <w:tc>
          <w:tcPr>
            <w:tcW w:w="900" w:type="dxa"/>
            <w:tcBorders>
              <w:top w:val="nil"/>
              <w:left w:val="nil"/>
              <w:bottom w:val="single" w:sz="4" w:space="0" w:color="auto"/>
              <w:right w:val="nil"/>
            </w:tcBorders>
            <w:shd w:val="clear" w:color="000000" w:fill="D9D9D9"/>
            <w:noWrap/>
            <w:vAlign w:val="bottom"/>
            <w:hideMark/>
          </w:tcPr>
          <w:p w:rsidR="003A7495" w:rsidRPr="003A7495" w:rsidRDefault="003A7495" w:rsidP="003A7495">
            <w:pPr>
              <w:spacing w:after="0"/>
              <w:jc w:val="right"/>
              <w:rPr>
                <w:rFonts w:ascii="Arial" w:hAnsi="Arial" w:cs="Arial"/>
                <w:b/>
                <w:bCs/>
                <w:color w:val="auto"/>
                <w:sz w:val="16"/>
                <w:szCs w:val="16"/>
              </w:rPr>
            </w:pPr>
            <w:r w:rsidRPr="003A7495">
              <w:rPr>
                <w:rFonts w:ascii="Arial" w:hAnsi="Arial" w:cs="Arial"/>
                <w:b/>
                <w:bCs/>
                <w:color w:val="auto"/>
                <w:sz w:val="16"/>
                <w:szCs w:val="16"/>
              </w:rPr>
              <w:t>90</w:t>
            </w:r>
          </w:p>
        </w:tc>
        <w:tc>
          <w:tcPr>
            <w:tcW w:w="900" w:type="dxa"/>
            <w:tcBorders>
              <w:top w:val="nil"/>
              <w:left w:val="nil"/>
              <w:bottom w:val="single" w:sz="4" w:space="0" w:color="auto"/>
              <w:right w:val="nil"/>
            </w:tcBorders>
            <w:shd w:val="clear" w:color="auto" w:fill="auto"/>
            <w:noWrap/>
            <w:vAlign w:val="bottom"/>
            <w:hideMark/>
          </w:tcPr>
          <w:p w:rsidR="003A7495" w:rsidRPr="003A7495" w:rsidRDefault="003A7495" w:rsidP="003A7495">
            <w:pPr>
              <w:spacing w:after="0"/>
              <w:jc w:val="right"/>
              <w:rPr>
                <w:rFonts w:ascii="Arial" w:hAnsi="Arial" w:cs="Arial"/>
                <w:b/>
                <w:bCs/>
                <w:color w:val="auto"/>
                <w:sz w:val="16"/>
                <w:szCs w:val="16"/>
              </w:rPr>
            </w:pPr>
            <w:r w:rsidRPr="003A7495">
              <w:rPr>
                <w:rFonts w:ascii="Arial" w:hAnsi="Arial" w:cs="Arial"/>
                <w:b/>
                <w:bCs/>
                <w:color w:val="auto"/>
                <w:sz w:val="16"/>
                <w:szCs w:val="16"/>
              </w:rPr>
              <w:t>154</w:t>
            </w:r>
          </w:p>
        </w:tc>
        <w:tc>
          <w:tcPr>
            <w:tcW w:w="900" w:type="dxa"/>
            <w:tcBorders>
              <w:top w:val="nil"/>
              <w:left w:val="nil"/>
              <w:bottom w:val="single" w:sz="4" w:space="0" w:color="auto"/>
              <w:right w:val="nil"/>
            </w:tcBorders>
            <w:shd w:val="clear" w:color="auto" w:fill="auto"/>
            <w:noWrap/>
            <w:vAlign w:val="bottom"/>
            <w:hideMark/>
          </w:tcPr>
          <w:p w:rsidR="003A7495" w:rsidRPr="003A7495" w:rsidRDefault="003A7495" w:rsidP="003A7495">
            <w:pPr>
              <w:spacing w:after="0"/>
              <w:jc w:val="right"/>
              <w:rPr>
                <w:rFonts w:ascii="Arial" w:hAnsi="Arial" w:cs="Arial"/>
                <w:b/>
                <w:bCs/>
                <w:color w:val="auto"/>
                <w:sz w:val="16"/>
                <w:szCs w:val="16"/>
              </w:rPr>
            </w:pPr>
            <w:r w:rsidRPr="003A7495">
              <w:rPr>
                <w:rFonts w:ascii="Arial" w:hAnsi="Arial" w:cs="Arial"/>
                <w:b/>
                <w:bCs/>
                <w:color w:val="auto"/>
                <w:sz w:val="16"/>
                <w:szCs w:val="16"/>
              </w:rPr>
              <w:t>151</w:t>
            </w:r>
          </w:p>
        </w:tc>
        <w:tc>
          <w:tcPr>
            <w:tcW w:w="900" w:type="dxa"/>
            <w:tcBorders>
              <w:top w:val="nil"/>
              <w:left w:val="nil"/>
              <w:bottom w:val="single" w:sz="4" w:space="0" w:color="auto"/>
              <w:right w:val="nil"/>
            </w:tcBorders>
            <w:shd w:val="clear" w:color="auto" w:fill="auto"/>
            <w:noWrap/>
            <w:vAlign w:val="bottom"/>
            <w:hideMark/>
          </w:tcPr>
          <w:p w:rsidR="003A7495" w:rsidRPr="003A7495" w:rsidRDefault="003A7495" w:rsidP="003A7495">
            <w:pPr>
              <w:spacing w:after="0"/>
              <w:jc w:val="right"/>
              <w:rPr>
                <w:rFonts w:ascii="Arial" w:hAnsi="Arial" w:cs="Arial"/>
                <w:b/>
                <w:bCs/>
                <w:color w:val="auto"/>
                <w:sz w:val="16"/>
                <w:szCs w:val="16"/>
              </w:rPr>
            </w:pPr>
            <w:r w:rsidRPr="003A7495">
              <w:rPr>
                <w:rFonts w:ascii="Arial" w:hAnsi="Arial" w:cs="Arial"/>
                <w:b/>
                <w:bCs/>
                <w:color w:val="auto"/>
                <w:sz w:val="16"/>
                <w:szCs w:val="16"/>
              </w:rPr>
              <w:t>152</w:t>
            </w:r>
          </w:p>
        </w:tc>
      </w:tr>
    </w:tbl>
    <w:p w:rsidR="003A7495" w:rsidRPr="003A7495" w:rsidRDefault="003A7495" w:rsidP="003A7495">
      <w:pPr>
        <w:pStyle w:val="FootnoteText"/>
        <w:spacing w:before="120"/>
      </w:pPr>
      <w:r w:rsidRPr="003A7495">
        <w:rPr>
          <w:vertAlign w:val="superscript"/>
        </w:rPr>
        <w:t>(a)</w:t>
      </w:r>
      <w:r>
        <w:tab/>
      </w:r>
      <w:r w:rsidRPr="003A7495">
        <w:t>Does not include annual finance lease costs. Includes purchases from current and previous years' Departme</w:t>
      </w:r>
      <w:r>
        <w:t>ntal Capital Budgets (DCB).</w:t>
      </w:r>
    </w:p>
    <w:p w:rsidR="00234523" w:rsidRDefault="00234523">
      <w:pPr>
        <w:spacing w:after="0"/>
        <w:rPr>
          <w:rFonts w:ascii="Arial" w:hAnsi="Arial" w:cs="Arial"/>
          <w:b/>
          <w:szCs w:val="18"/>
          <w:lang w:eastAsia="en-US"/>
        </w:rPr>
      </w:pPr>
      <w:r>
        <w:br w:type="page"/>
      </w:r>
    </w:p>
    <w:p w:rsidR="00456383" w:rsidRPr="003C3DD3" w:rsidRDefault="00456383" w:rsidP="002308D2">
      <w:pPr>
        <w:pStyle w:val="Tablenumberandreference"/>
      </w:pPr>
      <w:r w:rsidRPr="003C3DD3">
        <w:t>Table 3.6: Statement of As</w:t>
      </w:r>
      <w:r w:rsidR="002308D2" w:rsidRPr="003C3DD3">
        <w:t>set Movements (Budget year 201</w:t>
      </w:r>
      <w:r w:rsidR="00934304">
        <w:t>9</w:t>
      </w:r>
      <w:r w:rsidR="002308D2" w:rsidRPr="003C3DD3">
        <w:t>-</w:t>
      </w:r>
      <w:r w:rsidR="00934304">
        <w:t>20</w:t>
      </w:r>
      <w:r w:rsidRPr="003C3DD3">
        <w:t>)</w:t>
      </w:r>
    </w:p>
    <w:tbl>
      <w:tblPr>
        <w:tblW w:w="7340" w:type="dxa"/>
        <w:jc w:val="center"/>
        <w:tblLayout w:type="fixed"/>
        <w:tblLook w:val="04A0" w:firstRow="1" w:lastRow="0" w:firstColumn="1" w:lastColumn="0" w:noHBand="0" w:noVBand="1"/>
      </w:tblPr>
      <w:tblGrid>
        <w:gridCol w:w="2920"/>
        <w:gridCol w:w="1020"/>
        <w:gridCol w:w="1360"/>
        <w:gridCol w:w="1020"/>
        <w:gridCol w:w="1020"/>
      </w:tblGrid>
      <w:tr w:rsidR="009E3BAE" w:rsidRPr="009E3BAE" w:rsidTr="009E3BAE">
        <w:trPr>
          <w:trHeight w:val="765"/>
          <w:jc w:val="center"/>
        </w:trPr>
        <w:tc>
          <w:tcPr>
            <w:tcW w:w="2920" w:type="dxa"/>
            <w:tcBorders>
              <w:top w:val="single" w:sz="4" w:space="0" w:color="auto"/>
              <w:left w:val="nil"/>
              <w:bottom w:val="nil"/>
              <w:right w:val="nil"/>
            </w:tcBorders>
            <w:shd w:val="clear" w:color="auto" w:fill="auto"/>
            <w:noWrap/>
            <w:hideMark/>
          </w:tcPr>
          <w:p w:rsidR="009E3BAE" w:rsidRPr="009E3BAE" w:rsidRDefault="009E3BAE" w:rsidP="009E3BAE">
            <w:pPr>
              <w:spacing w:before="40" w:after="0"/>
              <w:jc w:val="right"/>
              <w:rPr>
                <w:rFonts w:ascii="Times New Roman" w:hAnsi="Times New Roman"/>
                <w:color w:val="auto"/>
                <w:sz w:val="24"/>
                <w:szCs w:val="24"/>
              </w:rPr>
            </w:pPr>
          </w:p>
        </w:tc>
        <w:tc>
          <w:tcPr>
            <w:tcW w:w="1020" w:type="dxa"/>
            <w:tcBorders>
              <w:top w:val="single" w:sz="4" w:space="0" w:color="auto"/>
              <w:left w:val="nil"/>
              <w:bottom w:val="single" w:sz="4" w:space="0" w:color="auto"/>
              <w:right w:val="nil"/>
            </w:tcBorders>
            <w:shd w:val="clear" w:color="auto" w:fill="auto"/>
            <w:hideMark/>
          </w:tcPr>
          <w:p w:rsidR="009E3BAE" w:rsidRPr="009E3BAE" w:rsidRDefault="009E3BAE" w:rsidP="009E3BAE">
            <w:pPr>
              <w:spacing w:before="40" w:after="0"/>
              <w:jc w:val="right"/>
              <w:rPr>
                <w:rFonts w:ascii="Arial" w:hAnsi="Arial" w:cs="Arial"/>
                <w:b/>
                <w:bCs/>
                <w:color w:val="auto"/>
                <w:sz w:val="16"/>
                <w:szCs w:val="16"/>
              </w:rPr>
            </w:pPr>
            <w:r w:rsidRPr="009E3BAE">
              <w:rPr>
                <w:rFonts w:ascii="Arial" w:hAnsi="Arial" w:cs="Arial"/>
                <w:b/>
                <w:bCs/>
                <w:color w:val="auto"/>
                <w:sz w:val="16"/>
                <w:szCs w:val="16"/>
              </w:rPr>
              <w:t xml:space="preserve">Buildings </w:t>
            </w:r>
            <w:r w:rsidRPr="009E3BAE">
              <w:rPr>
                <w:rFonts w:ascii="Arial" w:hAnsi="Arial" w:cs="Arial"/>
                <w:b/>
                <w:bCs/>
                <w:color w:val="auto"/>
                <w:sz w:val="16"/>
                <w:szCs w:val="16"/>
              </w:rPr>
              <w:br/>
            </w:r>
            <w:r w:rsidRPr="009E3BAE">
              <w:rPr>
                <w:rFonts w:ascii="Arial" w:hAnsi="Arial" w:cs="Arial"/>
                <w:b/>
                <w:bCs/>
                <w:color w:val="auto"/>
                <w:sz w:val="16"/>
                <w:szCs w:val="16"/>
              </w:rPr>
              <w:br/>
            </w:r>
            <w:r w:rsidRPr="009E3BAE">
              <w:rPr>
                <w:rFonts w:ascii="Arial" w:hAnsi="Arial" w:cs="Arial"/>
                <w:b/>
                <w:bCs/>
                <w:color w:val="auto"/>
                <w:sz w:val="16"/>
                <w:szCs w:val="16"/>
              </w:rPr>
              <w:br/>
            </w:r>
            <w:r>
              <w:rPr>
                <w:rFonts w:ascii="Arial" w:hAnsi="Arial" w:cs="Arial"/>
                <w:color w:val="auto"/>
                <w:sz w:val="16"/>
                <w:szCs w:val="16"/>
              </w:rPr>
              <w:br/>
            </w:r>
            <w:r w:rsidRPr="009E3BAE">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auto" w:fill="auto"/>
            <w:hideMark/>
          </w:tcPr>
          <w:p w:rsidR="009E3BAE" w:rsidRPr="009E3BAE" w:rsidRDefault="009E3BAE" w:rsidP="009E3BAE">
            <w:pPr>
              <w:spacing w:before="40" w:after="0"/>
              <w:jc w:val="right"/>
              <w:rPr>
                <w:rFonts w:ascii="Arial" w:hAnsi="Arial" w:cs="Arial"/>
                <w:b/>
                <w:bCs/>
                <w:color w:val="auto"/>
                <w:sz w:val="16"/>
                <w:szCs w:val="16"/>
              </w:rPr>
            </w:pPr>
            <w:r>
              <w:rPr>
                <w:rFonts w:ascii="Arial" w:hAnsi="Arial" w:cs="Arial"/>
                <w:b/>
                <w:bCs/>
                <w:color w:val="auto"/>
                <w:sz w:val="16"/>
                <w:szCs w:val="16"/>
              </w:rPr>
              <w:t xml:space="preserve">Other property, </w:t>
            </w:r>
            <w:r w:rsidRPr="009E3BAE">
              <w:rPr>
                <w:rFonts w:ascii="Arial" w:hAnsi="Arial" w:cs="Arial"/>
                <w:b/>
                <w:bCs/>
                <w:color w:val="auto"/>
                <w:sz w:val="16"/>
                <w:szCs w:val="16"/>
              </w:rPr>
              <w:t>plant</w:t>
            </w:r>
            <w:r>
              <w:rPr>
                <w:rFonts w:ascii="Arial" w:hAnsi="Arial" w:cs="Arial"/>
                <w:b/>
                <w:bCs/>
                <w:color w:val="auto"/>
                <w:sz w:val="16"/>
                <w:szCs w:val="16"/>
              </w:rPr>
              <w:t> </w:t>
            </w:r>
            <w:r w:rsidRPr="009E3BAE">
              <w:rPr>
                <w:rFonts w:ascii="Arial" w:hAnsi="Arial" w:cs="Arial"/>
                <w:b/>
                <w:bCs/>
                <w:color w:val="auto"/>
                <w:sz w:val="16"/>
                <w:szCs w:val="16"/>
              </w:rPr>
              <w:t xml:space="preserve">and </w:t>
            </w:r>
            <w:r w:rsidRPr="009E3BAE">
              <w:rPr>
                <w:rFonts w:ascii="Arial" w:hAnsi="Arial" w:cs="Arial"/>
                <w:b/>
                <w:bCs/>
                <w:color w:val="auto"/>
                <w:sz w:val="16"/>
                <w:szCs w:val="16"/>
              </w:rPr>
              <w:br/>
              <w:t xml:space="preserve">equipment </w:t>
            </w:r>
            <w:r w:rsidRPr="009E3BAE">
              <w:rPr>
                <w:rFonts w:ascii="Arial" w:hAnsi="Arial" w:cs="Arial"/>
                <w:b/>
                <w:bCs/>
                <w:color w:val="auto"/>
                <w:sz w:val="16"/>
                <w:szCs w:val="16"/>
              </w:rPr>
              <w:br/>
            </w:r>
            <w:r w:rsidRPr="009E3BAE">
              <w:rPr>
                <w:rFonts w:ascii="Arial" w:hAnsi="Arial" w:cs="Arial"/>
                <w:color w:val="auto"/>
                <w:sz w:val="16"/>
                <w:szCs w:val="16"/>
              </w:rPr>
              <w:t>$'000</w:t>
            </w:r>
          </w:p>
        </w:tc>
        <w:tc>
          <w:tcPr>
            <w:tcW w:w="1020" w:type="dxa"/>
            <w:tcBorders>
              <w:top w:val="single" w:sz="4" w:space="0" w:color="auto"/>
              <w:left w:val="nil"/>
              <w:bottom w:val="single" w:sz="4" w:space="0" w:color="auto"/>
              <w:right w:val="nil"/>
            </w:tcBorders>
            <w:shd w:val="clear" w:color="auto" w:fill="auto"/>
            <w:tcMar>
              <w:left w:w="0" w:type="dxa"/>
            </w:tcMar>
            <w:hideMark/>
          </w:tcPr>
          <w:p w:rsidR="009E3BAE" w:rsidRPr="009E3BAE" w:rsidRDefault="009E3BAE" w:rsidP="009E3BAE">
            <w:pPr>
              <w:spacing w:before="40" w:after="0"/>
              <w:jc w:val="right"/>
              <w:rPr>
                <w:rFonts w:ascii="Arial" w:hAnsi="Arial" w:cs="Arial"/>
                <w:b/>
                <w:bCs/>
                <w:color w:val="auto"/>
                <w:sz w:val="16"/>
                <w:szCs w:val="16"/>
              </w:rPr>
            </w:pPr>
            <w:r w:rsidRPr="009E3BAE">
              <w:rPr>
                <w:rFonts w:ascii="Arial" w:hAnsi="Arial" w:cs="Arial"/>
                <w:b/>
                <w:bCs/>
                <w:color w:val="auto"/>
                <w:sz w:val="16"/>
                <w:szCs w:val="16"/>
              </w:rPr>
              <w:t>Intangibles</w:t>
            </w:r>
            <w:r w:rsidRPr="009E3BAE">
              <w:rPr>
                <w:rFonts w:ascii="Arial" w:hAnsi="Arial" w:cs="Arial"/>
                <w:color w:val="auto"/>
                <w:sz w:val="16"/>
                <w:szCs w:val="16"/>
              </w:rPr>
              <w:t xml:space="preserve"> </w:t>
            </w:r>
            <w:r w:rsidRPr="009E3BAE">
              <w:rPr>
                <w:rFonts w:ascii="Arial" w:hAnsi="Arial" w:cs="Arial"/>
                <w:color w:val="auto"/>
                <w:sz w:val="16"/>
                <w:szCs w:val="16"/>
              </w:rPr>
              <w:br/>
            </w:r>
            <w:r w:rsidRPr="009E3BAE">
              <w:rPr>
                <w:rFonts w:ascii="Arial" w:hAnsi="Arial" w:cs="Arial"/>
                <w:color w:val="auto"/>
                <w:sz w:val="16"/>
                <w:szCs w:val="16"/>
              </w:rPr>
              <w:br/>
            </w:r>
            <w:r w:rsidRPr="009E3BAE">
              <w:rPr>
                <w:rFonts w:ascii="Arial" w:hAnsi="Arial" w:cs="Arial"/>
                <w:color w:val="auto"/>
                <w:sz w:val="16"/>
                <w:szCs w:val="16"/>
              </w:rPr>
              <w:br/>
            </w:r>
            <w:r>
              <w:rPr>
                <w:rFonts w:ascii="Arial" w:hAnsi="Arial" w:cs="Arial"/>
                <w:color w:val="auto"/>
                <w:sz w:val="16"/>
                <w:szCs w:val="16"/>
              </w:rPr>
              <w:br/>
            </w:r>
            <w:r w:rsidRPr="009E3BAE">
              <w:rPr>
                <w:rFonts w:ascii="Arial" w:hAnsi="Arial" w:cs="Arial"/>
                <w:color w:val="auto"/>
                <w:sz w:val="16"/>
                <w:szCs w:val="16"/>
              </w:rPr>
              <w:t>$'000</w:t>
            </w:r>
          </w:p>
        </w:tc>
        <w:tc>
          <w:tcPr>
            <w:tcW w:w="1020" w:type="dxa"/>
            <w:tcBorders>
              <w:top w:val="single" w:sz="4" w:space="0" w:color="auto"/>
              <w:left w:val="nil"/>
              <w:bottom w:val="single" w:sz="4" w:space="0" w:color="auto"/>
              <w:right w:val="nil"/>
            </w:tcBorders>
            <w:shd w:val="clear" w:color="auto" w:fill="auto"/>
            <w:hideMark/>
          </w:tcPr>
          <w:p w:rsidR="009E3BAE" w:rsidRPr="009E3BAE" w:rsidRDefault="009E3BAE" w:rsidP="009E3BAE">
            <w:pPr>
              <w:spacing w:before="40" w:after="0"/>
              <w:jc w:val="right"/>
              <w:rPr>
                <w:rFonts w:ascii="Arial" w:hAnsi="Arial" w:cs="Arial"/>
                <w:b/>
                <w:bCs/>
                <w:color w:val="auto"/>
                <w:sz w:val="16"/>
                <w:szCs w:val="16"/>
              </w:rPr>
            </w:pPr>
            <w:r w:rsidRPr="009E3BAE">
              <w:rPr>
                <w:rFonts w:ascii="Arial" w:hAnsi="Arial" w:cs="Arial"/>
                <w:b/>
                <w:bCs/>
                <w:color w:val="auto"/>
                <w:sz w:val="16"/>
                <w:szCs w:val="16"/>
              </w:rPr>
              <w:t xml:space="preserve">Total </w:t>
            </w:r>
            <w:r w:rsidRPr="009E3BAE">
              <w:rPr>
                <w:rFonts w:ascii="Arial" w:hAnsi="Arial" w:cs="Arial"/>
                <w:b/>
                <w:bCs/>
                <w:color w:val="auto"/>
                <w:sz w:val="16"/>
                <w:szCs w:val="16"/>
              </w:rPr>
              <w:br/>
            </w:r>
            <w:r w:rsidRPr="009E3BAE">
              <w:rPr>
                <w:rFonts w:ascii="Arial" w:hAnsi="Arial" w:cs="Arial"/>
                <w:b/>
                <w:bCs/>
                <w:color w:val="auto"/>
                <w:sz w:val="16"/>
                <w:szCs w:val="16"/>
              </w:rPr>
              <w:br/>
            </w:r>
            <w:r w:rsidRPr="009E3BAE">
              <w:rPr>
                <w:rFonts w:ascii="Arial" w:hAnsi="Arial" w:cs="Arial"/>
                <w:b/>
                <w:bCs/>
                <w:color w:val="auto"/>
                <w:sz w:val="16"/>
                <w:szCs w:val="16"/>
              </w:rPr>
              <w:br/>
            </w:r>
            <w:r>
              <w:rPr>
                <w:rFonts w:ascii="Arial" w:hAnsi="Arial" w:cs="Arial"/>
                <w:color w:val="auto"/>
                <w:sz w:val="16"/>
                <w:szCs w:val="16"/>
              </w:rPr>
              <w:br/>
            </w:r>
            <w:r w:rsidRPr="009E3BAE">
              <w:rPr>
                <w:rFonts w:ascii="Arial" w:hAnsi="Arial" w:cs="Arial"/>
                <w:color w:val="auto"/>
                <w:sz w:val="16"/>
                <w:szCs w:val="16"/>
              </w:rPr>
              <w:t>$'000</w:t>
            </w:r>
          </w:p>
        </w:tc>
      </w:tr>
      <w:tr w:rsidR="009E3BAE" w:rsidRPr="009E3BAE" w:rsidTr="009E3BAE">
        <w:trPr>
          <w:trHeight w:val="283"/>
          <w:jc w:val="center"/>
        </w:trPr>
        <w:tc>
          <w:tcPr>
            <w:tcW w:w="2920" w:type="dxa"/>
            <w:tcBorders>
              <w:top w:val="nil"/>
              <w:left w:val="nil"/>
              <w:bottom w:val="nil"/>
              <w:right w:val="nil"/>
            </w:tcBorders>
            <w:shd w:val="clear" w:color="auto" w:fill="auto"/>
            <w:noWrap/>
            <w:vAlign w:val="bottom"/>
            <w:hideMark/>
          </w:tcPr>
          <w:p w:rsidR="009E3BAE" w:rsidRPr="009E3BAE" w:rsidRDefault="009E3BAE" w:rsidP="009E3BAE">
            <w:pPr>
              <w:spacing w:after="0"/>
              <w:rPr>
                <w:rFonts w:ascii="Arial" w:hAnsi="Arial" w:cs="Arial"/>
                <w:b/>
                <w:bCs/>
                <w:color w:val="auto"/>
                <w:sz w:val="16"/>
                <w:szCs w:val="16"/>
              </w:rPr>
            </w:pPr>
            <w:r w:rsidRPr="009E3BAE">
              <w:rPr>
                <w:rFonts w:ascii="Arial" w:hAnsi="Arial" w:cs="Arial"/>
                <w:b/>
                <w:bCs/>
                <w:color w:val="auto"/>
                <w:sz w:val="16"/>
                <w:szCs w:val="16"/>
              </w:rPr>
              <w:t>As at 1 July 2019</w:t>
            </w:r>
          </w:p>
        </w:tc>
        <w:tc>
          <w:tcPr>
            <w:tcW w:w="1020" w:type="dxa"/>
            <w:tcBorders>
              <w:top w:val="nil"/>
              <w:left w:val="nil"/>
              <w:bottom w:val="nil"/>
              <w:right w:val="nil"/>
            </w:tcBorders>
            <w:shd w:val="clear" w:color="auto" w:fill="auto"/>
            <w:noWrap/>
            <w:vAlign w:val="bottom"/>
            <w:hideMark/>
          </w:tcPr>
          <w:p w:rsidR="009E3BAE" w:rsidRPr="009E3BAE" w:rsidRDefault="009E3BAE" w:rsidP="009E3BAE">
            <w:pPr>
              <w:spacing w:after="0"/>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Times New Roman" w:hAnsi="Times New Roman"/>
                <w:color w:val="auto"/>
              </w:rPr>
            </w:pPr>
          </w:p>
        </w:tc>
      </w:tr>
      <w:tr w:rsidR="009E3BAE" w:rsidRPr="009E3BAE" w:rsidTr="009E3BAE">
        <w:trPr>
          <w:trHeight w:val="225"/>
          <w:jc w:val="center"/>
        </w:trPr>
        <w:tc>
          <w:tcPr>
            <w:tcW w:w="2920" w:type="dxa"/>
            <w:tcBorders>
              <w:top w:val="nil"/>
              <w:left w:val="nil"/>
              <w:bottom w:val="nil"/>
              <w:right w:val="nil"/>
            </w:tcBorders>
            <w:shd w:val="clear" w:color="auto" w:fill="auto"/>
            <w:noWrap/>
            <w:vAlign w:val="bottom"/>
            <w:hideMark/>
          </w:tcPr>
          <w:p w:rsidR="009E3BAE" w:rsidRPr="009E3BAE" w:rsidRDefault="009E3BAE" w:rsidP="009E3BAE">
            <w:pPr>
              <w:spacing w:after="0"/>
              <w:ind w:firstLineChars="100" w:firstLine="160"/>
              <w:rPr>
                <w:rFonts w:ascii="Arial" w:hAnsi="Arial" w:cs="Arial"/>
                <w:color w:val="auto"/>
                <w:sz w:val="16"/>
                <w:szCs w:val="16"/>
              </w:rPr>
            </w:pPr>
            <w:r w:rsidRPr="009E3BAE">
              <w:rPr>
                <w:rFonts w:ascii="Arial" w:hAnsi="Arial" w:cs="Arial"/>
                <w:color w:val="auto"/>
                <w:sz w:val="16"/>
                <w:szCs w:val="16"/>
              </w:rPr>
              <w:t xml:space="preserve">Gross book value </w:t>
            </w:r>
          </w:p>
        </w:tc>
        <w:tc>
          <w:tcPr>
            <w:tcW w:w="102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Arial" w:hAnsi="Arial" w:cs="Arial"/>
                <w:sz w:val="16"/>
                <w:szCs w:val="16"/>
              </w:rPr>
            </w:pPr>
            <w:r w:rsidRPr="009E3BAE">
              <w:rPr>
                <w:rFonts w:ascii="Arial" w:hAnsi="Arial" w:cs="Arial"/>
                <w:sz w:val="16"/>
                <w:szCs w:val="16"/>
              </w:rPr>
              <w:t>509</w:t>
            </w:r>
          </w:p>
        </w:tc>
        <w:tc>
          <w:tcPr>
            <w:tcW w:w="136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Arial" w:hAnsi="Arial" w:cs="Arial"/>
                <w:sz w:val="16"/>
                <w:szCs w:val="16"/>
              </w:rPr>
            </w:pPr>
            <w:r w:rsidRPr="009E3BAE">
              <w:rPr>
                <w:rFonts w:ascii="Arial" w:hAnsi="Arial" w:cs="Arial"/>
                <w:sz w:val="16"/>
                <w:szCs w:val="16"/>
              </w:rPr>
              <w:t>490</w:t>
            </w:r>
          </w:p>
        </w:tc>
        <w:tc>
          <w:tcPr>
            <w:tcW w:w="102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Arial" w:hAnsi="Arial" w:cs="Arial"/>
                <w:sz w:val="16"/>
                <w:szCs w:val="16"/>
              </w:rPr>
            </w:pPr>
            <w:r w:rsidRPr="009E3BAE">
              <w:rPr>
                <w:rFonts w:ascii="Arial" w:hAnsi="Arial" w:cs="Arial"/>
                <w:sz w:val="16"/>
                <w:szCs w:val="16"/>
              </w:rPr>
              <w:t>850</w:t>
            </w:r>
          </w:p>
        </w:tc>
        <w:tc>
          <w:tcPr>
            <w:tcW w:w="102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Arial" w:hAnsi="Arial" w:cs="Arial"/>
                <w:b/>
                <w:bCs/>
                <w:sz w:val="16"/>
                <w:szCs w:val="16"/>
              </w:rPr>
            </w:pPr>
            <w:r w:rsidRPr="009E3BAE">
              <w:rPr>
                <w:rFonts w:ascii="Arial" w:hAnsi="Arial" w:cs="Arial"/>
                <w:b/>
                <w:bCs/>
                <w:sz w:val="16"/>
                <w:szCs w:val="16"/>
              </w:rPr>
              <w:t>1,849</w:t>
            </w:r>
          </w:p>
        </w:tc>
      </w:tr>
      <w:tr w:rsidR="009E3BAE" w:rsidRPr="009E3BAE" w:rsidTr="009E3BAE">
        <w:trPr>
          <w:trHeight w:val="425"/>
          <w:jc w:val="center"/>
        </w:trPr>
        <w:tc>
          <w:tcPr>
            <w:tcW w:w="2920" w:type="dxa"/>
            <w:tcBorders>
              <w:top w:val="nil"/>
              <w:left w:val="nil"/>
              <w:bottom w:val="nil"/>
              <w:right w:val="nil"/>
            </w:tcBorders>
            <w:shd w:val="clear" w:color="auto" w:fill="auto"/>
            <w:vAlign w:val="bottom"/>
            <w:hideMark/>
          </w:tcPr>
          <w:p w:rsidR="009E3BAE" w:rsidRPr="009E3BAE" w:rsidRDefault="009E3BAE" w:rsidP="009E3BAE">
            <w:pPr>
              <w:spacing w:after="0"/>
              <w:ind w:leftChars="75" w:left="150"/>
              <w:rPr>
                <w:rFonts w:ascii="Arial" w:hAnsi="Arial" w:cs="Arial"/>
                <w:color w:val="auto"/>
                <w:sz w:val="16"/>
                <w:szCs w:val="16"/>
              </w:rPr>
            </w:pPr>
            <w:r w:rsidRPr="009E3BAE">
              <w:rPr>
                <w:rFonts w:ascii="Arial" w:hAnsi="Arial" w:cs="Arial"/>
                <w:color w:val="auto"/>
                <w:sz w:val="16"/>
                <w:szCs w:val="16"/>
              </w:rPr>
              <w:t>Accumulated depreciation/</w:t>
            </w:r>
            <w:r>
              <w:rPr>
                <w:rFonts w:ascii="Arial" w:hAnsi="Arial" w:cs="Arial"/>
                <w:color w:val="auto"/>
                <w:sz w:val="16"/>
                <w:szCs w:val="16"/>
              </w:rPr>
              <w:t xml:space="preserve"> </w:t>
            </w:r>
            <w:r w:rsidRPr="009E3BAE">
              <w:rPr>
                <w:rFonts w:ascii="Arial" w:hAnsi="Arial" w:cs="Arial"/>
                <w:color w:val="auto"/>
                <w:sz w:val="16"/>
                <w:szCs w:val="16"/>
              </w:rPr>
              <w:t>amortisation and impairment</w:t>
            </w:r>
          </w:p>
        </w:tc>
        <w:tc>
          <w:tcPr>
            <w:tcW w:w="1020" w:type="dxa"/>
            <w:tcBorders>
              <w:top w:val="nil"/>
              <w:left w:val="nil"/>
              <w:bottom w:val="single" w:sz="4" w:space="0" w:color="auto"/>
              <w:right w:val="nil"/>
            </w:tcBorders>
            <w:shd w:val="clear" w:color="auto" w:fill="auto"/>
            <w:noWrap/>
            <w:vAlign w:val="bottom"/>
            <w:hideMark/>
          </w:tcPr>
          <w:p w:rsidR="009E3BAE" w:rsidRPr="009E3BAE" w:rsidRDefault="009E3BAE" w:rsidP="009E3BAE">
            <w:pPr>
              <w:spacing w:after="0"/>
              <w:jc w:val="right"/>
              <w:rPr>
                <w:rFonts w:ascii="Arial" w:hAnsi="Arial" w:cs="Arial"/>
                <w:sz w:val="16"/>
                <w:szCs w:val="16"/>
              </w:rPr>
            </w:pPr>
            <w:r w:rsidRPr="009E3BAE">
              <w:rPr>
                <w:rFonts w:ascii="Arial" w:hAnsi="Arial" w:cs="Arial"/>
                <w:sz w:val="16"/>
                <w:szCs w:val="16"/>
              </w:rPr>
              <w:t>(121)</w:t>
            </w:r>
          </w:p>
        </w:tc>
        <w:tc>
          <w:tcPr>
            <w:tcW w:w="1360" w:type="dxa"/>
            <w:tcBorders>
              <w:top w:val="nil"/>
              <w:left w:val="nil"/>
              <w:bottom w:val="single" w:sz="4" w:space="0" w:color="auto"/>
              <w:right w:val="nil"/>
            </w:tcBorders>
            <w:shd w:val="clear" w:color="auto" w:fill="auto"/>
            <w:noWrap/>
            <w:vAlign w:val="bottom"/>
            <w:hideMark/>
          </w:tcPr>
          <w:p w:rsidR="009E3BAE" w:rsidRPr="009E3BAE" w:rsidRDefault="009E3BAE" w:rsidP="009E3BAE">
            <w:pPr>
              <w:spacing w:after="0"/>
              <w:jc w:val="right"/>
              <w:rPr>
                <w:rFonts w:ascii="Arial" w:hAnsi="Arial" w:cs="Arial"/>
                <w:sz w:val="16"/>
                <w:szCs w:val="16"/>
              </w:rPr>
            </w:pPr>
            <w:r w:rsidRPr="009E3BAE">
              <w:rPr>
                <w:rFonts w:ascii="Arial" w:hAnsi="Arial" w:cs="Arial"/>
                <w:sz w:val="16"/>
                <w:szCs w:val="16"/>
              </w:rPr>
              <w:t>(143)</w:t>
            </w:r>
          </w:p>
        </w:tc>
        <w:tc>
          <w:tcPr>
            <w:tcW w:w="1020" w:type="dxa"/>
            <w:tcBorders>
              <w:top w:val="nil"/>
              <w:left w:val="nil"/>
              <w:bottom w:val="single" w:sz="4" w:space="0" w:color="auto"/>
              <w:right w:val="nil"/>
            </w:tcBorders>
            <w:shd w:val="clear" w:color="auto" w:fill="auto"/>
            <w:noWrap/>
            <w:vAlign w:val="bottom"/>
            <w:hideMark/>
          </w:tcPr>
          <w:p w:rsidR="009E3BAE" w:rsidRPr="009E3BAE" w:rsidRDefault="009E3BAE" w:rsidP="009E3BAE">
            <w:pPr>
              <w:spacing w:after="0"/>
              <w:jc w:val="right"/>
              <w:rPr>
                <w:rFonts w:ascii="Arial" w:hAnsi="Arial" w:cs="Arial"/>
                <w:sz w:val="16"/>
                <w:szCs w:val="16"/>
              </w:rPr>
            </w:pPr>
            <w:r w:rsidRPr="009E3BAE">
              <w:rPr>
                <w:rFonts w:ascii="Arial" w:hAnsi="Arial" w:cs="Arial"/>
                <w:sz w:val="16"/>
                <w:szCs w:val="16"/>
              </w:rPr>
              <w:t>(405)</w:t>
            </w:r>
          </w:p>
        </w:tc>
        <w:tc>
          <w:tcPr>
            <w:tcW w:w="1020" w:type="dxa"/>
            <w:tcBorders>
              <w:top w:val="nil"/>
              <w:left w:val="nil"/>
              <w:bottom w:val="single" w:sz="4" w:space="0" w:color="auto"/>
              <w:right w:val="nil"/>
            </w:tcBorders>
            <w:shd w:val="clear" w:color="auto" w:fill="auto"/>
            <w:noWrap/>
            <w:vAlign w:val="bottom"/>
            <w:hideMark/>
          </w:tcPr>
          <w:p w:rsidR="009E3BAE" w:rsidRPr="009E3BAE" w:rsidRDefault="009E3BAE" w:rsidP="009E3BAE">
            <w:pPr>
              <w:spacing w:after="0"/>
              <w:jc w:val="right"/>
              <w:rPr>
                <w:rFonts w:ascii="Arial" w:hAnsi="Arial" w:cs="Arial"/>
                <w:b/>
                <w:bCs/>
                <w:sz w:val="16"/>
                <w:szCs w:val="16"/>
              </w:rPr>
            </w:pPr>
            <w:r w:rsidRPr="009E3BAE">
              <w:rPr>
                <w:rFonts w:ascii="Arial" w:hAnsi="Arial" w:cs="Arial"/>
                <w:b/>
                <w:bCs/>
                <w:sz w:val="16"/>
                <w:szCs w:val="16"/>
              </w:rPr>
              <w:t>(669)</w:t>
            </w:r>
          </w:p>
        </w:tc>
      </w:tr>
      <w:tr w:rsidR="009E3BAE" w:rsidRPr="009E3BAE" w:rsidTr="009E3BAE">
        <w:trPr>
          <w:trHeight w:val="225"/>
          <w:jc w:val="center"/>
        </w:trPr>
        <w:tc>
          <w:tcPr>
            <w:tcW w:w="2920" w:type="dxa"/>
            <w:tcBorders>
              <w:top w:val="nil"/>
              <w:left w:val="nil"/>
              <w:bottom w:val="nil"/>
              <w:right w:val="nil"/>
            </w:tcBorders>
            <w:shd w:val="clear" w:color="auto" w:fill="auto"/>
            <w:noWrap/>
            <w:vAlign w:val="bottom"/>
            <w:hideMark/>
          </w:tcPr>
          <w:p w:rsidR="009E3BAE" w:rsidRPr="009E3BAE" w:rsidRDefault="009E3BAE" w:rsidP="001B17A0">
            <w:pPr>
              <w:spacing w:after="0"/>
              <w:ind w:firstLineChars="100" w:firstLine="160"/>
              <w:rPr>
                <w:rFonts w:ascii="Arial" w:hAnsi="Arial" w:cs="Arial"/>
                <w:b/>
                <w:bCs/>
                <w:color w:val="auto"/>
                <w:sz w:val="16"/>
                <w:szCs w:val="16"/>
              </w:rPr>
            </w:pPr>
            <w:r w:rsidRPr="009E3BAE">
              <w:rPr>
                <w:rFonts w:ascii="Arial" w:hAnsi="Arial" w:cs="Arial"/>
                <w:b/>
                <w:bCs/>
                <w:color w:val="auto"/>
                <w:sz w:val="16"/>
                <w:szCs w:val="16"/>
              </w:rPr>
              <w:t>Opening net book balance</w:t>
            </w:r>
          </w:p>
        </w:tc>
        <w:tc>
          <w:tcPr>
            <w:tcW w:w="1020" w:type="dxa"/>
            <w:tcBorders>
              <w:top w:val="nil"/>
              <w:left w:val="nil"/>
              <w:bottom w:val="single" w:sz="4" w:space="0" w:color="auto"/>
              <w:right w:val="nil"/>
            </w:tcBorders>
            <w:shd w:val="clear" w:color="auto" w:fill="auto"/>
            <w:noWrap/>
            <w:vAlign w:val="bottom"/>
            <w:hideMark/>
          </w:tcPr>
          <w:p w:rsidR="009E3BAE" w:rsidRPr="009E3BAE" w:rsidRDefault="009E3BAE" w:rsidP="009E3BAE">
            <w:pPr>
              <w:spacing w:after="0"/>
              <w:jc w:val="right"/>
              <w:rPr>
                <w:rFonts w:ascii="Arial" w:hAnsi="Arial" w:cs="Arial"/>
                <w:b/>
                <w:bCs/>
                <w:sz w:val="16"/>
                <w:szCs w:val="16"/>
              </w:rPr>
            </w:pPr>
            <w:r w:rsidRPr="009E3BAE">
              <w:rPr>
                <w:rFonts w:ascii="Arial" w:hAnsi="Arial" w:cs="Arial"/>
                <w:b/>
                <w:bCs/>
                <w:sz w:val="16"/>
                <w:szCs w:val="16"/>
              </w:rPr>
              <w:t>388</w:t>
            </w:r>
          </w:p>
        </w:tc>
        <w:tc>
          <w:tcPr>
            <w:tcW w:w="1360" w:type="dxa"/>
            <w:tcBorders>
              <w:top w:val="nil"/>
              <w:left w:val="nil"/>
              <w:bottom w:val="single" w:sz="4" w:space="0" w:color="auto"/>
              <w:right w:val="nil"/>
            </w:tcBorders>
            <w:shd w:val="clear" w:color="auto" w:fill="auto"/>
            <w:noWrap/>
            <w:vAlign w:val="bottom"/>
            <w:hideMark/>
          </w:tcPr>
          <w:p w:rsidR="009E3BAE" w:rsidRPr="009E3BAE" w:rsidRDefault="009E3BAE" w:rsidP="009E3BAE">
            <w:pPr>
              <w:spacing w:after="0"/>
              <w:jc w:val="right"/>
              <w:rPr>
                <w:rFonts w:ascii="Arial" w:hAnsi="Arial" w:cs="Arial"/>
                <w:b/>
                <w:bCs/>
                <w:sz w:val="16"/>
                <w:szCs w:val="16"/>
              </w:rPr>
            </w:pPr>
            <w:r w:rsidRPr="009E3BAE">
              <w:rPr>
                <w:rFonts w:ascii="Arial" w:hAnsi="Arial" w:cs="Arial"/>
                <w:b/>
                <w:bCs/>
                <w:sz w:val="16"/>
                <w:szCs w:val="16"/>
              </w:rPr>
              <w:t>347</w:t>
            </w:r>
          </w:p>
        </w:tc>
        <w:tc>
          <w:tcPr>
            <w:tcW w:w="1020" w:type="dxa"/>
            <w:tcBorders>
              <w:top w:val="nil"/>
              <w:left w:val="nil"/>
              <w:bottom w:val="single" w:sz="4" w:space="0" w:color="auto"/>
              <w:right w:val="nil"/>
            </w:tcBorders>
            <w:shd w:val="clear" w:color="auto" w:fill="auto"/>
            <w:noWrap/>
            <w:vAlign w:val="bottom"/>
            <w:hideMark/>
          </w:tcPr>
          <w:p w:rsidR="009E3BAE" w:rsidRPr="009E3BAE" w:rsidRDefault="009E3BAE" w:rsidP="009E3BAE">
            <w:pPr>
              <w:spacing w:after="0"/>
              <w:jc w:val="right"/>
              <w:rPr>
                <w:rFonts w:ascii="Arial" w:hAnsi="Arial" w:cs="Arial"/>
                <w:b/>
                <w:bCs/>
                <w:sz w:val="16"/>
                <w:szCs w:val="16"/>
              </w:rPr>
            </w:pPr>
            <w:r w:rsidRPr="009E3BAE">
              <w:rPr>
                <w:rFonts w:ascii="Arial" w:hAnsi="Arial" w:cs="Arial"/>
                <w:b/>
                <w:bCs/>
                <w:sz w:val="16"/>
                <w:szCs w:val="16"/>
              </w:rPr>
              <w:t>445</w:t>
            </w:r>
          </w:p>
        </w:tc>
        <w:tc>
          <w:tcPr>
            <w:tcW w:w="1020" w:type="dxa"/>
            <w:tcBorders>
              <w:top w:val="nil"/>
              <w:left w:val="nil"/>
              <w:bottom w:val="single" w:sz="4" w:space="0" w:color="auto"/>
              <w:right w:val="nil"/>
            </w:tcBorders>
            <w:shd w:val="clear" w:color="auto" w:fill="auto"/>
            <w:noWrap/>
            <w:vAlign w:val="bottom"/>
            <w:hideMark/>
          </w:tcPr>
          <w:p w:rsidR="009E3BAE" w:rsidRPr="009E3BAE" w:rsidRDefault="009E3BAE" w:rsidP="009E3BAE">
            <w:pPr>
              <w:spacing w:after="0"/>
              <w:jc w:val="right"/>
              <w:rPr>
                <w:rFonts w:ascii="Arial" w:hAnsi="Arial" w:cs="Arial"/>
                <w:b/>
                <w:bCs/>
                <w:sz w:val="16"/>
                <w:szCs w:val="16"/>
              </w:rPr>
            </w:pPr>
            <w:r w:rsidRPr="009E3BAE">
              <w:rPr>
                <w:rFonts w:ascii="Arial" w:hAnsi="Arial" w:cs="Arial"/>
                <w:b/>
                <w:bCs/>
                <w:sz w:val="16"/>
                <w:szCs w:val="16"/>
              </w:rPr>
              <w:t>1,180</w:t>
            </w:r>
          </w:p>
        </w:tc>
      </w:tr>
      <w:tr w:rsidR="009E3BAE" w:rsidRPr="009E3BAE" w:rsidTr="009E3BAE">
        <w:trPr>
          <w:trHeight w:val="300"/>
          <w:jc w:val="center"/>
        </w:trPr>
        <w:tc>
          <w:tcPr>
            <w:tcW w:w="2920" w:type="dxa"/>
            <w:tcBorders>
              <w:top w:val="nil"/>
              <w:left w:val="nil"/>
              <w:bottom w:val="nil"/>
              <w:right w:val="nil"/>
            </w:tcBorders>
            <w:shd w:val="clear" w:color="auto" w:fill="auto"/>
            <w:noWrap/>
            <w:vAlign w:val="bottom"/>
            <w:hideMark/>
          </w:tcPr>
          <w:p w:rsidR="009E3BAE" w:rsidRPr="009E3BAE" w:rsidRDefault="009E3BAE" w:rsidP="009E3BAE">
            <w:pPr>
              <w:spacing w:after="0"/>
              <w:rPr>
                <w:rFonts w:ascii="Arial" w:hAnsi="Arial" w:cs="Arial"/>
                <w:b/>
                <w:bCs/>
                <w:color w:val="auto"/>
                <w:sz w:val="16"/>
                <w:szCs w:val="16"/>
              </w:rPr>
            </w:pPr>
            <w:r w:rsidRPr="009E3BAE">
              <w:rPr>
                <w:rFonts w:ascii="Arial" w:hAnsi="Arial" w:cs="Arial"/>
                <w:b/>
                <w:bCs/>
                <w:color w:val="auto"/>
                <w:sz w:val="16"/>
                <w:szCs w:val="16"/>
              </w:rPr>
              <w:t>CAPITAL ASSET ADDITIONS</w:t>
            </w:r>
          </w:p>
        </w:tc>
        <w:tc>
          <w:tcPr>
            <w:tcW w:w="1020" w:type="dxa"/>
            <w:tcBorders>
              <w:top w:val="nil"/>
              <w:left w:val="nil"/>
              <w:bottom w:val="nil"/>
              <w:right w:val="nil"/>
            </w:tcBorders>
            <w:shd w:val="clear" w:color="auto" w:fill="auto"/>
            <w:noWrap/>
            <w:vAlign w:val="bottom"/>
            <w:hideMark/>
          </w:tcPr>
          <w:p w:rsidR="009E3BAE" w:rsidRPr="009E3BAE" w:rsidRDefault="009E3BAE" w:rsidP="009E3BAE">
            <w:pPr>
              <w:spacing w:after="0"/>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Times New Roman" w:hAnsi="Times New Roman"/>
                <w:color w:val="auto"/>
              </w:rPr>
            </w:pPr>
          </w:p>
        </w:tc>
      </w:tr>
      <w:tr w:rsidR="009E3BAE" w:rsidRPr="009E3BAE" w:rsidTr="009E3BAE">
        <w:trPr>
          <w:trHeight w:val="450"/>
          <w:jc w:val="center"/>
        </w:trPr>
        <w:tc>
          <w:tcPr>
            <w:tcW w:w="2920" w:type="dxa"/>
            <w:tcBorders>
              <w:top w:val="nil"/>
              <w:left w:val="nil"/>
              <w:bottom w:val="nil"/>
              <w:right w:val="nil"/>
            </w:tcBorders>
            <w:shd w:val="clear" w:color="auto" w:fill="auto"/>
            <w:vAlign w:val="bottom"/>
            <w:hideMark/>
          </w:tcPr>
          <w:p w:rsidR="009E3BAE" w:rsidRPr="009E3BAE" w:rsidRDefault="009E3BAE" w:rsidP="009E3BAE">
            <w:pPr>
              <w:spacing w:after="0"/>
              <w:rPr>
                <w:rFonts w:ascii="Arial" w:hAnsi="Arial" w:cs="Arial"/>
                <w:b/>
                <w:bCs/>
                <w:color w:val="auto"/>
                <w:sz w:val="16"/>
                <w:szCs w:val="16"/>
              </w:rPr>
            </w:pPr>
            <w:r w:rsidRPr="009E3BAE">
              <w:rPr>
                <w:rFonts w:ascii="Arial" w:hAnsi="Arial" w:cs="Arial"/>
                <w:b/>
                <w:bCs/>
                <w:color w:val="auto"/>
                <w:sz w:val="16"/>
                <w:szCs w:val="16"/>
              </w:rPr>
              <w:t>Estimated expenditure on new or replacement assets</w:t>
            </w:r>
          </w:p>
        </w:tc>
        <w:tc>
          <w:tcPr>
            <w:tcW w:w="1020" w:type="dxa"/>
            <w:tcBorders>
              <w:top w:val="nil"/>
              <w:left w:val="nil"/>
              <w:bottom w:val="nil"/>
              <w:right w:val="nil"/>
            </w:tcBorders>
            <w:shd w:val="clear" w:color="auto" w:fill="auto"/>
            <w:noWrap/>
            <w:vAlign w:val="bottom"/>
            <w:hideMark/>
          </w:tcPr>
          <w:p w:rsidR="009E3BAE" w:rsidRPr="009E3BAE" w:rsidRDefault="009E3BAE" w:rsidP="009E3BAE">
            <w:pPr>
              <w:spacing w:after="0"/>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Times New Roman" w:hAnsi="Times New Roman"/>
                <w:color w:val="auto"/>
              </w:rPr>
            </w:pPr>
          </w:p>
        </w:tc>
      </w:tr>
      <w:tr w:rsidR="009E3BAE" w:rsidRPr="009E3BAE" w:rsidTr="009E3BAE">
        <w:trPr>
          <w:trHeight w:val="425"/>
          <w:jc w:val="center"/>
        </w:trPr>
        <w:tc>
          <w:tcPr>
            <w:tcW w:w="2920" w:type="dxa"/>
            <w:tcBorders>
              <w:top w:val="nil"/>
              <w:left w:val="nil"/>
              <w:bottom w:val="nil"/>
              <w:right w:val="nil"/>
            </w:tcBorders>
            <w:shd w:val="clear" w:color="auto" w:fill="auto"/>
            <w:vAlign w:val="bottom"/>
            <w:hideMark/>
          </w:tcPr>
          <w:p w:rsidR="009E3BAE" w:rsidRPr="009E3BAE" w:rsidRDefault="009E3BAE" w:rsidP="009E3BAE">
            <w:pPr>
              <w:spacing w:after="0"/>
              <w:ind w:leftChars="75" w:left="150"/>
              <w:rPr>
                <w:rFonts w:ascii="Arial" w:hAnsi="Arial" w:cs="Arial"/>
                <w:color w:val="auto"/>
                <w:sz w:val="16"/>
                <w:szCs w:val="16"/>
              </w:rPr>
            </w:pPr>
            <w:r w:rsidRPr="009E3BAE">
              <w:rPr>
                <w:rFonts w:ascii="Arial" w:hAnsi="Arial" w:cs="Arial"/>
                <w:color w:val="auto"/>
                <w:sz w:val="16"/>
                <w:szCs w:val="16"/>
              </w:rPr>
              <w:t>By purchase - appropriation ordinary annual services</w:t>
            </w:r>
          </w:p>
        </w:tc>
        <w:tc>
          <w:tcPr>
            <w:tcW w:w="102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Arial" w:hAnsi="Arial" w:cs="Arial"/>
                <w:sz w:val="16"/>
                <w:szCs w:val="16"/>
              </w:rPr>
            </w:pPr>
            <w:r w:rsidRPr="009E3BAE">
              <w:rPr>
                <w:rFonts w:ascii="Arial" w:hAnsi="Arial" w:cs="Arial"/>
                <w:sz w:val="16"/>
                <w:szCs w:val="16"/>
              </w:rPr>
              <w:t>19</w:t>
            </w:r>
          </w:p>
        </w:tc>
        <w:tc>
          <w:tcPr>
            <w:tcW w:w="136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Arial" w:hAnsi="Arial" w:cs="Arial"/>
                <w:sz w:val="16"/>
                <w:szCs w:val="16"/>
              </w:rPr>
            </w:pPr>
            <w:r w:rsidRPr="009E3BAE">
              <w:rPr>
                <w:rFonts w:ascii="Arial" w:hAnsi="Arial" w:cs="Arial"/>
                <w:sz w:val="16"/>
                <w:szCs w:val="16"/>
              </w:rPr>
              <w:t>26</w:t>
            </w:r>
          </w:p>
        </w:tc>
        <w:tc>
          <w:tcPr>
            <w:tcW w:w="102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Arial" w:hAnsi="Arial" w:cs="Arial"/>
                <w:sz w:val="16"/>
                <w:szCs w:val="16"/>
              </w:rPr>
            </w:pPr>
            <w:r w:rsidRPr="009E3BAE">
              <w:rPr>
                <w:rFonts w:ascii="Arial" w:hAnsi="Arial" w:cs="Arial"/>
                <w:sz w:val="16"/>
                <w:szCs w:val="16"/>
              </w:rPr>
              <w:t>45</w:t>
            </w:r>
          </w:p>
        </w:tc>
        <w:tc>
          <w:tcPr>
            <w:tcW w:w="102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Arial" w:hAnsi="Arial" w:cs="Arial"/>
                <w:b/>
                <w:bCs/>
                <w:sz w:val="16"/>
                <w:szCs w:val="16"/>
              </w:rPr>
            </w:pPr>
            <w:r w:rsidRPr="009E3BAE">
              <w:rPr>
                <w:rFonts w:ascii="Arial" w:hAnsi="Arial" w:cs="Arial"/>
                <w:b/>
                <w:bCs/>
                <w:sz w:val="16"/>
                <w:szCs w:val="16"/>
              </w:rPr>
              <w:t>90</w:t>
            </w:r>
          </w:p>
        </w:tc>
      </w:tr>
      <w:tr w:rsidR="009E3BAE" w:rsidRPr="009E3BAE" w:rsidTr="009E3BAE">
        <w:trPr>
          <w:trHeight w:val="225"/>
          <w:jc w:val="center"/>
        </w:trPr>
        <w:tc>
          <w:tcPr>
            <w:tcW w:w="2920" w:type="dxa"/>
            <w:tcBorders>
              <w:top w:val="nil"/>
              <w:left w:val="nil"/>
              <w:bottom w:val="nil"/>
              <w:right w:val="nil"/>
            </w:tcBorders>
            <w:shd w:val="clear" w:color="auto" w:fill="auto"/>
            <w:noWrap/>
            <w:vAlign w:val="bottom"/>
            <w:hideMark/>
          </w:tcPr>
          <w:p w:rsidR="009E3BAE" w:rsidRPr="009E3BAE" w:rsidRDefault="009E3BAE" w:rsidP="001B17A0">
            <w:pPr>
              <w:spacing w:after="0"/>
              <w:ind w:firstLineChars="100" w:firstLine="160"/>
              <w:rPr>
                <w:rFonts w:ascii="Arial" w:hAnsi="Arial" w:cs="Arial"/>
                <w:b/>
                <w:bCs/>
                <w:sz w:val="16"/>
                <w:szCs w:val="16"/>
              </w:rPr>
            </w:pPr>
            <w:r w:rsidRPr="009E3BAE">
              <w:rPr>
                <w:rFonts w:ascii="Arial" w:hAnsi="Arial" w:cs="Arial"/>
                <w:b/>
                <w:bCs/>
                <w:sz w:val="16"/>
                <w:szCs w:val="16"/>
              </w:rPr>
              <w:t>Total additions</w:t>
            </w:r>
          </w:p>
        </w:tc>
        <w:tc>
          <w:tcPr>
            <w:tcW w:w="1020" w:type="dxa"/>
            <w:tcBorders>
              <w:top w:val="nil"/>
              <w:left w:val="nil"/>
              <w:bottom w:val="single" w:sz="4" w:space="0" w:color="auto"/>
              <w:right w:val="nil"/>
            </w:tcBorders>
            <w:shd w:val="clear" w:color="auto" w:fill="auto"/>
            <w:noWrap/>
            <w:vAlign w:val="bottom"/>
            <w:hideMark/>
          </w:tcPr>
          <w:p w:rsidR="009E3BAE" w:rsidRPr="009E3BAE" w:rsidRDefault="009E3BAE" w:rsidP="009E3BAE">
            <w:pPr>
              <w:spacing w:after="0"/>
              <w:jc w:val="right"/>
              <w:rPr>
                <w:rFonts w:ascii="Arial" w:hAnsi="Arial" w:cs="Arial"/>
                <w:b/>
                <w:bCs/>
                <w:sz w:val="16"/>
                <w:szCs w:val="16"/>
              </w:rPr>
            </w:pPr>
            <w:r w:rsidRPr="009E3BAE">
              <w:rPr>
                <w:rFonts w:ascii="Arial" w:hAnsi="Arial" w:cs="Arial"/>
                <w:b/>
                <w:bCs/>
                <w:sz w:val="16"/>
                <w:szCs w:val="16"/>
              </w:rPr>
              <w:t>19</w:t>
            </w:r>
          </w:p>
        </w:tc>
        <w:tc>
          <w:tcPr>
            <w:tcW w:w="1360" w:type="dxa"/>
            <w:tcBorders>
              <w:top w:val="nil"/>
              <w:left w:val="nil"/>
              <w:bottom w:val="single" w:sz="4" w:space="0" w:color="auto"/>
              <w:right w:val="nil"/>
            </w:tcBorders>
            <w:shd w:val="clear" w:color="auto" w:fill="auto"/>
            <w:noWrap/>
            <w:vAlign w:val="bottom"/>
            <w:hideMark/>
          </w:tcPr>
          <w:p w:rsidR="009E3BAE" w:rsidRPr="009E3BAE" w:rsidRDefault="009E3BAE" w:rsidP="009E3BAE">
            <w:pPr>
              <w:spacing w:after="0"/>
              <w:jc w:val="right"/>
              <w:rPr>
                <w:rFonts w:ascii="Arial" w:hAnsi="Arial" w:cs="Arial"/>
                <w:b/>
                <w:bCs/>
                <w:sz w:val="16"/>
                <w:szCs w:val="16"/>
              </w:rPr>
            </w:pPr>
            <w:r w:rsidRPr="009E3BAE">
              <w:rPr>
                <w:rFonts w:ascii="Arial" w:hAnsi="Arial" w:cs="Arial"/>
                <w:b/>
                <w:bCs/>
                <w:sz w:val="16"/>
                <w:szCs w:val="16"/>
              </w:rPr>
              <w:t>26</w:t>
            </w:r>
          </w:p>
        </w:tc>
        <w:tc>
          <w:tcPr>
            <w:tcW w:w="1020" w:type="dxa"/>
            <w:tcBorders>
              <w:top w:val="nil"/>
              <w:left w:val="nil"/>
              <w:bottom w:val="single" w:sz="4" w:space="0" w:color="auto"/>
              <w:right w:val="nil"/>
            </w:tcBorders>
            <w:shd w:val="clear" w:color="auto" w:fill="auto"/>
            <w:noWrap/>
            <w:vAlign w:val="bottom"/>
            <w:hideMark/>
          </w:tcPr>
          <w:p w:rsidR="009E3BAE" w:rsidRPr="009E3BAE" w:rsidRDefault="009E3BAE" w:rsidP="009E3BAE">
            <w:pPr>
              <w:spacing w:after="0"/>
              <w:jc w:val="right"/>
              <w:rPr>
                <w:rFonts w:ascii="Arial" w:hAnsi="Arial" w:cs="Arial"/>
                <w:b/>
                <w:bCs/>
                <w:sz w:val="16"/>
                <w:szCs w:val="16"/>
              </w:rPr>
            </w:pPr>
            <w:r w:rsidRPr="009E3BAE">
              <w:rPr>
                <w:rFonts w:ascii="Arial" w:hAnsi="Arial" w:cs="Arial"/>
                <w:b/>
                <w:bCs/>
                <w:sz w:val="16"/>
                <w:szCs w:val="16"/>
              </w:rPr>
              <w:t>45</w:t>
            </w:r>
          </w:p>
        </w:tc>
        <w:tc>
          <w:tcPr>
            <w:tcW w:w="1020" w:type="dxa"/>
            <w:tcBorders>
              <w:top w:val="nil"/>
              <w:left w:val="nil"/>
              <w:bottom w:val="single" w:sz="4" w:space="0" w:color="auto"/>
              <w:right w:val="nil"/>
            </w:tcBorders>
            <w:shd w:val="clear" w:color="auto" w:fill="auto"/>
            <w:noWrap/>
            <w:vAlign w:val="bottom"/>
            <w:hideMark/>
          </w:tcPr>
          <w:p w:rsidR="009E3BAE" w:rsidRPr="009E3BAE" w:rsidRDefault="009E3BAE" w:rsidP="009E3BAE">
            <w:pPr>
              <w:spacing w:after="0"/>
              <w:jc w:val="right"/>
              <w:rPr>
                <w:rFonts w:ascii="Arial" w:hAnsi="Arial" w:cs="Arial"/>
                <w:b/>
                <w:bCs/>
                <w:sz w:val="16"/>
                <w:szCs w:val="16"/>
              </w:rPr>
            </w:pPr>
            <w:r w:rsidRPr="009E3BAE">
              <w:rPr>
                <w:rFonts w:ascii="Arial" w:hAnsi="Arial" w:cs="Arial"/>
                <w:b/>
                <w:bCs/>
                <w:sz w:val="16"/>
                <w:szCs w:val="16"/>
              </w:rPr>
              <w:t>90</w:t>
            </w:r>
          </w:p>
        </w:tc>
      </w:tr>
      <w:tr w:rsidR="009E3BAE" w:rsidRPr="009E3BAE" w:rsidTr="009E3BAE">
        <w:trPr>
          <w:trHeight w:val="300"/>
          <w:jc w:val="center"/>
        </w:trPr>
        <w:tc>
          <w:tcPr>
            <w:tcW w:w="2920" w:type="dxa"/>
            <w:tcBorders>
              <w:top w:val="nil"/>
              <w:left w:val="nil"/>
              <w:bottom w:val="nil"/>
              <w:right w:val="nil"/>
            </w:tcBorders>
            <w:shd w:val="clear" w:color="auto" w:fill="auto"/>
            <w:noWrap/>
            <w:vAlign w:val="bottom"/>
            <w:hideMark/>
          </w:tcPr>
          <w:p w:rsidR="009E3BAE" w:rsidRPr="009E3BAE" w:rsidRDefault="009E3BAE" w:rsidP="009E3BAE">
            <w:pPr>
              <w:spacing w:after="0"/>
              <w:rPr>
                <w:rFonts w:ascii="Arial" w:hAnsi="Arial" w:cs="Arial"/>
                <w:b/>
                <w:bCs/>
                <w:color w:val="auto"/>
                <w:sz w:val="16"/>
                <w:szCs w:val="16"/>
              </w:rPr>
            </w:pPr>
            <w:r w:rsidRPr="009E3BAE">
              <w:rPr>
                <w:rFonts w:ascii="Arial" w:hAnsi="Arial" w:cs="Arial"/>
                <w:b/>
                <w:bCs/>
                <w:color w:val="auto"/>
                <w:sz w:val="16"/>
                <w:szCs w:val="16"/>
              </w:rPr>
              <w:t>Other movements</w:t>
            </w:r>
          </w:p>
        </w:tc>
        <w:tc>
          <w:tcPr>
            <w:tcW w:w="1020" w:type="dxa"/>
            <w:tcBorders>
              <w:top w:val="nil"/>
              <w:left w:val="nil"/>
              <w:bottom w:val="nil"/>
              <w:right w:val="nil"/>
            </w:tcBorders>
            <w:shd w:val="clear" w:color="auto" w:fill="auto"/>
            <w:noWrap/>
            <w:vAlign w:val="bottom"/>
            <w:hideMark/>
          </w:tcPr>
          <w:p w:rsidR="009E3BAE" w:rsidRPr="009E3BAE" w:rsidRDefault="009E3BAE" w:rsidP="009E3BAE">
            <w:pPr>
              <w:spacing w:after="0"/>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Times New Roman" w:hAnsi="Times New Roman"/>
                <w:color w:val="auto"/>
              </w:rPr>
            </w:pPr>
          </w:p>
        </w:tc>
      </w:tr>
      <w:tr w:rsidR="009E3BAE" w:rsidRPr="009E3BAE" w:rsidTr="009E3BAE">
        <w:trPr>
          <w:trHeight w:val="225"/>
          <w:jc w:val="center"/>
        </w:trPr>
        <w:tc>
          <w:tcPr>
            <w:tcW w:w="2920" w:type="dxa"/>
            <w:tcBorders>
              <w:top w:val="nil"/>
              <w:left w:val="nil"/>
              <w:bottom w:val="nil"/>
              <w:right w:val="nil"/>
            </w:tcBorders>
            <w:shd w:val="clear" w:color="auto" w:fill="auto"/>
            <w:noWrap/>
            <w:vAlign w:val="bottom"/>
            <w:hideMark/>
          </w:tcPr>
          <w:p w:rsidR="009E3BAE" w:rsidRPr="009E3BAE" w:rsidRDefault="009E3BAE" w:rsidP="009E3BAE">
            <w:pPr>
              <w:spacing w:after="0"/>
              <w:ind w:firstLineChars="100" w:firstLine="160"/>
              <w:rPr>
                <w:rFonts w:ascii="Arial" w:hAnsi="Arial" w:cs="Arial"/>
                <w:color w:val="auto"/>
                <w:sz w:val="16"/>
                <w:szCs w:val="16"/>
              </w:rPr>
            </w:pPr>
            <w:r w:rsidRPr="009E3BAE">
              <w:rPr>
                <w:rFonts w:ascii="Arial" w:hAnsi="Arial" w:cs="Arial"/>
                <w:color w:val="auto"/>
                <w:sz w:val="16"/>
                <w:szCs w:val="16"/>
              </w:rPr>
              <w:t>Depreciation/amortisation expense</w:t>
            </w:r>
          </w:p>
        </w:tc>
        <w:tc>
          <w:tcPr>
            <w:tcW w:w="102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Arial" w:hAnsi="Arial" w:cs="Arial"/>
                <w:sz w:val="16"/>
                <w:szCs w:val="16"/>
              </w:rPr>
            </w:pPr>
            <w:r w:rsidRPr="009E3BAE">
              <w:rPr>
                <w:rFonts w:ascii="Arial" w:hAnsi="Arial" w:cs="Arial"/>
                <w:sz w:val="16"/>
                <w:szCs w:val="16"/>
              </w:rPr>
              <w:t>(121)</w:t>
            </w:r>
          </w:p>
        </w:tc>
        <w:tc>
          <w:tcPr>
            <w:tcW w:w="136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Arial" w:hAnsi="Arial" w:cs="Arial"/>
                <w:sz w:val="16"/>
                <w:szCs w:val="16"/>
              </w:rPr>
            </w:pPr>
            <w:r w:rsidRPr="009E3BAE">
              <w:rPr>
                <w:rFonts w:ascii="Arial" w:hAnsi="Arial" w:cs="Arial"/>
                <w:sz w:val="16"/>
                <w:szCs w:val="16"/>
              </w:rPr>
              <w:t>(88)</w:t>
            </w:r>
          </w:p>
        </w:tc>
        <w:tc>
          <w:tcPr>
            <w:tcW w:w="102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Arial" w:hAnsi="Arial" w:cs="Arial"/>
                <w:sz w:val="16"/>
                <w:szCs w:val="16"/>
              </w:rPr>
            </w:pPr>
            <w:r w:rsidRPr="009E3BAE">
              <w:rPr>
                <w:rFonts w:ascii="Arial" w:hAnsi="Arial" w:cs="Arial"/>
                <w:sz w:val="16"/>
                <w:szCs w:val="16"/>
              </w:rPr>
              <w:t>(81)</w:t>
            </w:r>
          </w:p>
        </w:tc>
        <w:tc>
          <w:tcPr>
            <w:tcW w:w="102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Arial" w:hAnsi="Arial" w:cs="Arial"/>
                <w:b/>
                <w:bCs/>
                <w:sz w:val="16"/>
                <w:szCs w:val="16"/>
              </w:rPr>
            </w:pPr>
            <w:r w:rsidRPr="009E3BAE">
              <w:rPr>
                <w:rFonts w:ascii="Arial" w:hAnsi="Arial" w:cs="Arial"/>
                <w:b/>
                <w:bCs/>
                <w:sz w:val="16"/>
                <w:szCs w:val="16"/>
              </w:rPr>
              <w:t>(290)</w:t>
            </w:r>
          </w:p>
        </w:tc>
      </w:tr>
      <w:tr w:rsidR="009E3BAE" w:rsidRPr="009E3BAE" w:rsidTr="009E3BAE">
        <w:trPr>
          <w:trHeight w:val="225"/>
          <w:jc w:val="center"/>
        </w:trPr>
        <w:tc>
          <w:tcPr>
            <w:tcW w:w="2920" w:type="dxa"/>
            <w:tcBorders>
              <w:top w:val="nil"/>
              <w:left w:val="nil"/>
              <w:bottom w:val="nil"/>
              <w:right w:val="nil"/>
            </w:tcBorders>
            <w:shd w:val="clear" w:color="auto" w:fill="auto"/>
            <w:noWrap/>
            <w:vAlign w:val="bottom"/>
            <w:hideMark/>
          </w:tcPr>
          <w:p w:rsidR="009E3BAE" w:rsidRPr="009E3BAE" w:rsidRDefault="009E3BAE" w:rsidP="001B17A0">
            <w:pPr>
              <w:spacing w:after="0"/>
              <w:ind w:firstLineChars="100" w:firstLine="160"/>
              <w:rPr>
                <w:rFonts w:ascii="Arial" w:hAnsi="Arial" w:cs="Arial"/>
                <w:b/>
                <w:bCs/>
                <w:sz w:val="16"/>
                <w:szCs w:val="16"/>
              </w:rPr>
            </w:pPr>
            <w:r w:rsidRPr="009E3BAE">
              <w:rPr>
                <w:rFonts w:ascii="Arial" w:hAnsi="Arial" w:cs="Arial"/>
                <w:b/>
                <w:bCs/>
                <w:sz w:val="16"/>
                <w:szCs w:val="16"/>
              </w:rPr>
              <w:t>Total other movements</w:t>
            </w:r>
          </w:p>
        </w:tc>
        <w:tc>
          <w:tcPr>
            <w:tcW w:w="1020" w:type="dxa"/>
            <w:tcBorders>
              <w:top w:val="nil"/>
              <w:left w:val="nil"/>
              <w:bottom w:val="single" w:sz="4" w:space="0" w:color="auto"/>
              <w:right w:val="nil"/>
            </w:tcBorders>
            <w:shd w:val="clear" w:color="auto" w:fill="auto"/>
            <w:noWrap/>
            <w:vAlign w:val="bottom"/>
            <w:hideMark/>
          </w:tcPr>
          <w:p w:rsidR="009E3BAE" w:rsidRPr="009E3BAE" w:rsidRDefault="009E3BAE" w:rsidP="009E3BAE">
            <w:pPr>
              <w:spacing w:after="0"/>
              <w:jc w:val="right"/>
              <w:rPr>
                <w:rFonts w:ascii="Arial" w:hAnsi="Arial" w:cs="Arial"/>
                <w:b/>
                <w:bCs/>
                <w:sz w:val="16"/>
                <w:szCs w:val="16"/>
              </w:rPr>
            </w:pPr>
            <w:r w:rsidRPr="009E3BAE">
              <w:rPr>
                <w:rFonts w:ascii="Arial" w:hAnsi="Arial" w:cs="Arial"/>
                <w:b/>
                <w:bCs/>
                <w:sz w:val="16"/>
                <w:szCs w:val="16"/>
              </w:rPr>
              <w:t>(121)</w:t>
            </w:r>
          </w:p>
        </w:tc>
        <w:tc>
          <w:tcPr>
            <w:tcW w:w="1360" w:type="dxa"/>
            <w:tcBorders>
              <w:top w:val="nil"/>
              <w:left w:val="nil"/>
              <w:bottom w:val="single" w:sz="4" w:space="0" w:color="auto"/>
              <w:right w:val="nil"/>
            </w:tcBorders>
            <w:shd w:val="clear" w:color="auto" w:fill="auto"/>
            <w:noWrap/>
            <w:vAlign w:val="bottom"/>
            <w:hideMark/>
          </w:tcPr>
          <w:p w:rsidR="009E3BAE" w:rsidRPr="009E3BAE" w:rsidRDefault="009E3BAE" w:rsidP="009E3BAE">
            <w:pPr>
              <w:spacing w:after="0"/>
              <w:jc w:val="right"/>
              <w:rPr>
                <w:rFonts w:ascii="Arial" w:hAnsi="Arial" w:cs="Arial"/>
                <w:b/>
                <w:bCs/>
                <w:sz w:val="16"/>
                <w:szCs w:val="16"/>
              </w:rPr>
            </w:pPr>
            <w:r w:rsidRPr="009E3BAE">
              <w:rPr>
                <w:rFonts w:ascii="Arial" w:hAnsi="Arial" w:cs="Arial"/>
                <w:b/>
                <w:bCs/>
                <w:sz w:val="16"/>
                <w:szCs w:val="16"/>
              </w:rPr>
              <w:t>(88)</w:t>
            </w:r>
          </w:p>
        </w:tc>
        <w:tc>
          <w:tcPr>
            <w:tcW w:w="1020" w:type="dxa"/>
            <w:tcBorders>
              <w:top w:val="nil"/>
              <w:left w:val="nil"/>
              <w:bottom w:val="single" w:sz="4" w:space="0" w:color="auto"/>
              <w:right w:val="nil"/>
            </w:tcBorders>
            <w:shd w:val="clear" w:color="auto" w:fill="auto"/>
            <w:noWrap/>
            <w:vAlign w:val="bottom"/>
            <w:hideMark/>
          </w:tcPr>
          <w:p w:rsidR="009E3BAE" w:rsidRPr="009E3BAE" w:rsidRDefault="009E3BAE" w:rsidP="009E3BAE">
            <w:pPr>
              <w:spacing w:after="0"/>
              <w:jc w:val="right"/>
              <w:rPr>
                <w:rFonts w:ascii="Arial" w:hAnsi="Arial" w:cs="Arial"/>
                <w:b/>
                <w:bCs/>
                <w:sz w:val="16"/>
                <w:szCs w:val="16"/>
              </w:rPr>
            </w:pPr>
            <w:r w:rsidRPr="009E3BAE">
              <w:rPr>
                <w:rFonts w:ascii="Arial" w:hAnsi="Arial" w:cs="Arial"/>
                <w:b/>
                <w:bCs/>
                <w:sz w:val="16"/>
                <w:szCs w:val="16"/>
              </w:rPr>
              <w:t>(81)</w:t>
            </w:r>
          </w:p>
        </w:tc>
        <w:tc>
          <w:tcPr>
            <w:tcW w:w="1020" w:type="dxa"/>
            <w:tcBorders>
              <w:top w:val="nil"/>
              <w:left w:val="nil"/>
              <w:bottom w:val="single" w:sz="4" w:space="0" w:color="auto"/>
              <w:right w:val="nil"/>
            </w:tcBorders>
            <w:shd w:val="clear" w:color="auto" w:fill="auto"/>
            <w:noWrap/>
            <w:vAlign w:val="bottom"/>
            <w:hideMark/>
          </w:tcPr>
          <w:p w:rsidR="009E3BAE" w:rsidRPr="009E3BAE" w:rsidRDefault="009E3BAE" w:rsidP="009E3BAE">
            <w:pPr>
              <w:spacing w:after="0"/>
              <w:jc w:val="right"/>
              <w:rPr>
                <w:rFonts w:ascii="Arial" w:hAnsi="Arial" w:cs="Arial"/>
                <w:b/>
                <w:bCs/>
                <w:sz w:val="16"/>
                <w:szCs w:val="16"/>
              </w:rPr>
            </w:pPr>
            <w:r w:rsidRPr="009E3BAE">
              <w:rPr>
                <w:rFonts w:ascii="Arial" w:hAnsi="Arial" w:cs="Arial"/>
                <w:b/>
                <w:bCs/>
                <w:sz w:val="16"/>
                <w:szCs w:val="16"/>
              </w:rPr>
              <w:t>(290)</w:t>
            </w:r>
          </w:p>
        </w:tc>
      </w:tr>
      <w:tr w:rsidR="009E3BAE" w:rsidRPr="009E3BAE" w:rsidTr="009E3BAE">
        <w:trPr>
          <w:trHeight w:val="283"/>
          <w:jc w:val="center"/>
        </w:trPr>
        <w:tc>
          <w:tcPr>
            <w:tcW w:w="2920" w:type="dxa"/>
            <w:tcBorders>
              <w:top w:val="nil"/>
              <w:left w:val="nil"/>
              <w:bottom w:val="nil"/>
              <w:right w:val="nil"/>
            </w:tcBorders>
            <w:shd w:val="clear" w:color="auto" w:fill="auto"/>
            <w:noWrap/>
            <w:vAlign w:val="bottom"/>
            <w:hideMark/>
          </w:tcPr>
          <w:p w:rsidR="009E3BAE" w:rsidRPr="009E3BAE" w:rsidRDefault="009E3BAE" w:rsidP="009E3BAE">
            <w:pPr>
              <w:spacing w:after="0"/>
              <w:rPr>
                <w:rFonts w:ascii="Arial" w:hAnsi="Arial" w:cs="Arial"/>
                <w:b/>
                <w:bCs/>
                <w:color w:val="auto"/>
                <w:sz w:val="16"/>
                <w:szCs w:val="16"/>
              </w:rPr>
            </w:pPr>
            <w:r w:rsidRPr="009E3BAE">
              <w:rPr>
                <w:rFonts w:ascii="Arial" w:hAnsi="Arial" w:cs="Arial"/>
                <w:b/>
                <w:bCs/>
                <w:color w:val="auto"/>
                <w:sz w:val="16"/>
                <w:szCs w:val="16"/>
              </w:rPr>
              <w:t>As at 30 June 2020</w:t>
            </w:r>
          </w:p>
        </w:tc>
        <w:tc>
          <w:tcPr>
            <w:tcW w:w="1020" w:type="dxa"/>
            <w:tcBorders>
              <w:top w:val="nil"/>
              <w:left w:val="nil"/>
              <w:bottom w:val="nil"/>
              <w:right w:val="nil"/>
            </w:tcBorders>
            <w:shd w:val="clear" w:color="auto" w:fill="auto"/>
            <w:noWrap/>
            <w:vAlign w:val="center"/>
            <w:hideMark/>
          </w:tcPr>
          <w:p w:rsidR="009E3BAE" w:rsidRPr="009E3BAE" w:rsidRDefault="009E3BAE" w:rsidP="009E3BAE">
            <w:pPr>
              <w:spacing w:after="0"/>
              <w:rPr>
                <w:rFonts w:ascii="Arial" w:hAnsi="Arial" w:cs="Arial"/>
                <w:b/>
                <w:bCs/>
                <w:color w:val="auto"/>
                <w:sz w:val="16"/>
                <w:szCs w:val="16"/>
              </w:rPr>
            </w:pPr>
          </w:p>
        </w:tc>
        <w:tc>
          <w:tcPr>
            <w:tcW w:w="1360" w:type="dxa"/>
            <w:tcBorders>
              <w:top w:val="nil"/>
              <w:left w:val="nil"/>
              <w:bottom w:val="nil"/>
              <w:right w:val="nil"/>
            </w:tcBorders>
            <w:shd w:val="clear" w:color="auto" w:fill="auto"/>
            <w:noWrap/>
            <w:vAlign w:val="center"/>
            <w:hideMark/>
          </w:tcPr>
          <w:p w:rsidR="009E3BAE" w:rsidRPr="009E3BAE" w:rsidRDefault="009E3BAE" w:rsidP="009E3BAE">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center"/>
            <w:hideMark/>
          </w:tcPr>
          <w:p w:rsidR="009E3BAE" w:rsidRPr="009E3BAE" w:rsidRDefault="009E3BAE" w:rsidP="009E3BAE">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center"/>
            <w:hideMark/>
          </w:tcPr>
          <w:p w:rsidR="009E3BAE" w:rsidRPr="009E3BAE" w:rsidRDefault="009E3BAE" w:rsidP="009E3BAE">
            <w:pPr>
              <w:spacing w:after="0"/>
              <w:jc w:val="right"/>
              <w:rPr>
                <w:rFonts w:ascii="Times New Roman" w:hAnsi="Times New Roman"/>
                <w:color w:val="auto"/>
              </w:rPr>
            </w:pPr>
          </w:p>
        </w:tc>
      </w:tr>
      <w:tr w:rsidR="009E3BAE" w:rsidRPr="009E3BAE" w:rsidTr="009E3BAE">
        <w:trPr>
          <w:trHeight w:val="225"/>
          <w:jc w:val="center"/>
        </w:trPr>
        <w:tc>
          <w:tcPr>
            <w:tcW w:w="2920" w:type="dxa"/>
            <w:tcBorders>
              <w:top w:val="nil"/>
              <w:left w:val="nil"/>
              <w:bottom w:val="nil"/>
              <w:right w:val="nil"/>
            </w:tcBorders>
            <w:shd w:val="clear" w:color="auto" w:fill="auto"/>
            <w:noWrap/>
            <w:vAlign w:val="bottom"/>
            <w:hideMark/>
          </w:tcPr>
          <w:p w:rsidR="009E3BAE" w:rsidRPr="009E3BAE" w:rsidRDefault="009E3BAE" w:rsidP="009E3BAE">
            <w:pPr>
              <w:spacing w:after="0"/>
              <w:ind w:firstLineChars="100" w:firstLine="160"/>
              <w:rPr>
                <w:rFonts w:ascii="Arial" w:hAnsi="Arial" w:cs="Arial"/>
                <w:color w:val="auto"/>
                <w:sz w:val="16"/>
                <w:szCs w:val="16"/>
              </w:rPr>
            </w:pPr>
            <w:r w:rsidRPr="009E3BAE">
              <w:rPr>
                <w:rFonts w:ascii="Arial" w:hAnsi="Arial" w:cs="Arial"/>
                <w:color w:val="auto"/>
                <w:sz w:val="16"/>
                <w:szCs w:val="16"/>
              </w:rPr>
              <w:t>Gross book value</w:t>
            </w:r>
          </w:p>
        </w:tc>
        <w:tc>
          <w:tcPr>
            <w:tcW w:w="102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Arial" w:hAnsi="Arial" w:cs="Arial"/>
                <w:sz w:val="16"/>
                <w:szCs w:val="16"/>
              </w:rPr>
            </w:pPr>
            <w:r w:rsidRPr="009E3BAE">
              <w:rPr>
                <w:rFonts w:ascii="Arial" w:hAnsi="Arial" w:cs="Arial"/>
                <w:sz w:val="16"/>
                <w:szCs w:val="16"/>
              </w:rPr>
              <w:t>528</w:t>
            </w:r>
          </w:p>
        </w:tc>
        <w:tc>
          <w:tcPr>
            <w:tcW w:w="136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Arial" w:hAnsi="Arial" w:cs="Arial"/>
                <w:sz w:val="16"/>
                <w:szCs w:val="16"/>
              </w:rPr>
            </w:pPr>
            <w:r w:rsidRPr="009E3BAE">
              <w:rPr>
                <w:rFonts w:ascii="Arial" w:hAnsi="Arial" w:cs="Arial"/>
                <w:sz w:val="16"/>
                <w:szCs w:val="16"/>
              </w:rPr>
              <w:t>516</w:t>
            </w:r>
          </w:p>
        </w:tc>
        <w:tc>
          <w:tcPr>
            <w:tcW w:w="102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Arial" w:hAnsi="Arial" w:cs="Arial"/>
                <w:sz w:val="16"/>
                <w:szCs w:val="16"/>
              </w:rPr>
            </w:pPr>
            <w:r w:rsidRPr="009E3BAE">
              <w:rPr>
                <w:rFonts w:ascii="Arial" w:hAnsi="Arial" w:cs="Arial"/>
                <w:sz w:val="16"/>
                <w:szCs w:val="16"/>
              </w:rPr>
              <w:t>895</w:t>
            </w:r>
          </w:p>
        </w:tc>
        <w:tc>
          <w:tcPr>
            <w:tcW w:w="1020" w:type="dxa"/>
            <w:tcBorders>
              <w:top w:val="nil"/>
              <w:left w:val="nil"/>
              <w:bottom w:val="nil"/>
              <w:right w:val="nil"/>
            </w:tcBorders>
            <w:shd w:val="clear" w:color="auto" w:fill="auto"/>
            <w:noWrap/>
            <w:vAlign w:val="bottom"/>
            <w:hideMark/>
          </w:tcPr>
          <w:p w:rsidR="009E3BAE" w:rsidRPr="009E3BAE" w:rsidRDefault="009E3BAE" w:rsidP="009E3BAE">
            <w:pPr>
              <w:spacing w:after="0"/>
              <w:jc w:val="right"/>
              <w:rPr>
                <w:rFonts w:ascii="Arial" w:hAnsi="Arial" w:cs="Arial"/>
                <w:b/>
                <w:bCs/>
                <w:sz w:val="16"/>
                <w:szCs w:val="16"/>
              </w:rPr>
            </w:pPr>
            <w:r w:rsidRPr="009E3BAE">
              <w:rPr>
                <w:rFonts w:ascii="Arial" w:hAnsi="Arial" w:cs="Arial"/>
                <w:b/>
                <w:bCs/>
                <w:sz w:val="16"/>
                <w:szCs w:val="16"/>
              </w:rPr>
              <w:t>1,939</w:t>
            </w:r>
          </w:p>
        </w:tc>
      </w:tr>
      <w:tr w:rsidR="009E3BAE" w:rsidRPr="009E3BAE" w:rsidTr="009E3BAE">
        <w:trPr>
          <w:trHeight w:val="425"/>
          <w:jc w:val="center"/>
        </w:trPr>
        <w:tc>
          <w:tcPr>
            <w:tcW w:w="2920" w:type="dxa"/>
            <w:tcBorders>
              <w:top w:val="nil"/>
              <w:left w:val="nil"/>
              <w:bottom w:val="nil"/>
              <w:right w:val="nil"/>
            </w:tcBorders>
            <w:shd w:val="clear" w:color="auto" w:fill="auto"/>
            <w:vAlign w:val="bottom"/>
            <w:hideMark/>
          </w:tcPr>
          <w:p w:rsidR="009E3BAE" w:rsidRPr="009E3BAE" w:rsidRDefault="009E3BAE" w:rsidP="009E3BAE">
            <w:pPr>
              <w:spacing w:after="0"/>
              <w:ind w:leftChars="75" w:left="150"/>
              <w:rPr>
                <w:rFonts w:ascii="Arial" w:hAnsi="Arial" w:cs="Arial"/>
                <w:color w:val="auto"/>
                <w:sz w:val="16"/>
                <w:szCs w:val="16"/>
              </w:rPr>
            </w:pPr>
            <w:r w:rsidRPr="009E3BAE">
              <w:rPr>
                <w:rFonts w:ascii="Arial" w:hAnsi="Arial" w:cs="Arial"/>
                <w:color w:val="auto"/>
                <w:sz w:val="16"/>
                <w:szCs w:val="16"/>
              </w:rPr>
              <w:t>Accumulated depreciation/</w:t>
            </w:r>
            <w:r>
              <w:rPr>
                <w:rFonts w:ascii="Arial" w:hAnsi="Arial" w:cs="Arial"/>
                <w:color w:val="auto"/>
                <w:sz w:val="16"/>
                <w:szCs w:val="16"/>
              </w:rPr>
              <w:t xml:space="preserve"> </w:t>
            </w:r>
            <w:r w:rsidRPr="009E3BAE">
              <w:rPr>
                <w:rFonts w:ascii="Arial" w:hAnsi="Arial" w:cs="Arial"/>
                <w:color w:val="auto"/>
                <w:sz w:val="16"/>
                <w:szCs w:val="16"/>
              </w:rPr>
              <w:t>amortisation and impairment</w:t>
            </w:r>
          </w:p>
        </w:tc>
        <w:tc>
          <w:tcPr>
            <w:tcW w:w="1020" w:type="dxa"/>
            <w:tcBorders>
              <w:top w:val="nil"/>
              <w:left w:val="nil"/>
              <w:bottom w:val="single" w:sz="4" w:space="0" w:color="auto"/>
              <w:right w:val="nil"/>
            </w:tcBorders>
            <w:shd w:val="clear" w:color="auto" w:fill="auto"/>
            <w:noWrap/>
            <w:vAlign w:val="bottom"/>
            <w:hideMark/>
          </w:tcPr>
          <w:p w:rsidR="009E3BAE" w:rsidRPr="009E3BAE" w:rsidRDefault="009E3BAE" w:rsidP="009E3BAE">
            <w:pPr>
              <w:spacing w:after="0"/>
              <w:jc w:val="right"/>
              <w:rPr>
                <w:rFonts w:ascii="Arial" w:hAnsi="Arial" w:cs="Arial"/>
                <w:sz w:val="16"/>
                <w:szCs w:val="16"/>
              </w:rPr>
            </w:pPr>
            <w:r w:rsidRPr="009E3BAE">
              <w:rPr>
                <w:rFonts w:ascii="Arial" w:hAnsi="Arial" w:cs="Arial"/>
                <w:sz w:val="16"/>
                <w:szCs w:val="16"/>
              </w:rPr>
              <w:t>(242)</w:t>
            </w:r>
          </w:p>
        </w:tc>
        <w:tc>
          <w:tcPr>
            <w:tcW w:w="1360" w:type="dxa"/>
            <w:tcBorders>
              <w:top w:val="nil"/>
              <w:left w:val="nil"/>
              <w:bottom w:val="single" w:sz="4" w:space="0" w:color="auto"/>
              <w:right w:val="nil"/>
            </w:tcBorders>
            <w:shd w:val="clear" w:color="auto" w:fill="auto"/>
            <w:noWrap/>
            <w:vAlign w:val="bottom"/>
            <w:hideMark/>
          </w:tcPr>
          <w:p w:rsidR="009E3BAE" w:rsidRPr="009E3BAE" w:rsidRDefault="009E3BAE" w:rsidP="009E3BAE">
            <w:pPr>
              <w:spacing w:after="0"/>
              <w:jc w:val="right"/>
              <w:rPr>
                <w:rFonts w:ascii="Arial" w:hAnsi="Arial" w:cs="Arial"/>
                <w:sz w:val="16"/>
                <w:szCs w:val="16"/>
              </w:rPr>
            </w:pPr>
            <w:r w:rsidRPr="009E3BAE">
              <w:rPr>
                <w:rFonts w:ascii="Arial" w:hAnsi="Arial" w:cs="Arial"/>
                <w:sz w:val="16"/>
                <w:szCs w:val="16"/>
              </w:rPr>
              <w:t>(231)</w:t>
            </w:r>
          </w:p>
        </w:tc>
        <w:tc>
          <w:tcPr>
            <w:tcW w:w="1020" w:type="dxa"/>
            <w:tcBorders>
              <w:top w:val="nil"/>
              <w:left w:val="nil"/>
              <w:bottom w:val="single" w:sz="4" w:space="0" w:color="auto"/>
              <w:right w:val="nil"/>
            </w:tcBorders>
            <w:shd w:val="clear" w:color="auto" w:fill="auto"/>
            <w:noWrap/>
            <w:vAlign w:val="bottom"/>
            <w:hideMark/>
          </w:tcPr>
          <w:p w:rsidR="009E3BAE" w:rsidRPr="009E3BAE" w:rsidRDefault="009E3BAE" w:rsidP="009E3BAE">
            <w:pPr>
              <w:spacing w:after="0"/>
              <w:jc w:val="right"/>
              <w:rPr>
                <w:rFonts w:ascii="Arial" w:hAnsi="Arial" w:cs="Arial"/>
                <w:sz w:val="16"/>
                <w:szCs w:val="16"/>
              </w:rPr>
            </w:pPr>
            <w:r w:rsidRPr="009E3BAE">
              <w:rPr>
                <w:rFonts w:ascii="Arial" w:hAnsi="Arial" w:cs="Arial"/>
                <w:sz w:val="16"/>
                <w:szCs w:val="16"/>
              </w:rPr>
              <w:t>(486)</w:t>
            </w:r>
          </w:p>
        </w:tc>
        <w:tc>
          <w:tcPr>
            <w:tcW w:w="1020" w:type="dxa"/>
            <w:tcBorders>
              <w:top w:val="nil"/>
              <w:left w:val="nil"/>
              <w:bottom w:val="single" w:sz="4" w:space="0" w:color="auto"/>
              <w:right w:val="nil"/>
            </w:tcBorders>
            <w:shd w:val="clear" w:color="auto" w:fill="auto"/>
            <w:noWrap/>
            <w:vAlign w:val="bottom"/>
            <w:hideMark/>
          </w:tcPr>
          <w:p w:rsidR="009E3BAE" w:rsidRPr="009E3BAE" w:rsidRDefault="009E3BAE" w:rsidP="009E3BAE">
            <w:pPr>
              <w:spacing w:after="0"/>
              <w:jc w:val="right"/>
              <w:rPr>
                <w:rFonts w:ascii="Arial" w:hAnsi="Arial" w:cs="Arial"/>
                <w:b/>
                <w:bCs/>
                <w:sz w:val="16"/>
                <w:szCs w:val="16"/>
              </w:rPr>
            </w:pPr>
            <w:r w:rsidRPr="009E3BAE">
              <w:rPr>
                <w:rFonts w:ascii="Arial" w:hAnsi="Arial" w:cs="Arial"/>
                <w:b/>
                <w:bCs/>
                <w:sz w:val="16"/>
                <w:szCs w:val="16"/>
              </w:rPr>
              <w:t>(959)</w:t>
            </w:r>
          </w:p>
        </w:tc>
      </w:tr>
      <w:tr w:rsidR="009E3BAE" w:rsidRPr="009E3BAE" w:rsidTr="009E3BAE">
        <w:trPr>
          <w:trHeight w:val="225"/>
          <w:jc w:val="center"/>
        </w:trPr>
        <w:tc>
          <w:tcPr>
            <w:tcW w:w="2920" w:type="dxa"/>
            <w:tcBorders>
              <w:top w:val="nil"/>
              <w:left w:val="nil"/>
              <w:bottom w:val="single" w:sz="4" w:space="0" w:color="auto"/>
              <w:right w:val="nil"/>
            </w:tcBorders>
            <w:shd w:val="clear" w:color="auto" w:fill="auto"/>
            <w:noWrap/>
            <w:vAlign w:val="bottom"/>
            <w:hideMark/>
          </w:tcPr>
          <w:p w:rsidR="009E3BAE" w:rsidRPr="009E3BAE" w:rsidRDefault="009E3BAE" w:rsidP="001B17A0">
            <w:pPr>
              <w:spacing w:after="0"/>
              <w:ind w:firstLineChars="100" w:firstLine="160"/>
              <w:rPr>
                <w:rFonts w:ascii="Arial" w:hAnsi="Arial" w:cs="Arial"/>
                <w:b/>
                <w:bCs/>
                <w:color w:val="auto"/>
                <w:sz w:val="16"/>
                <w:szCs w:val="16"/>
              </w:rPr>
            </w:pPr>
            <w:r w:rsidRPr="009E3BAE">
              <w:rPr>
                <w:rFonts w:ascii="Arial" w:hAnsi="Arial" w:cs="Arial"/>
                <w:b/>
                <w:bCs/>
                <w:color w:val="auto"/>
                <w:sz w:val="16"/>
                <w:szCs w:val="16"/>
              </w:rPr>
              <w:t>Closing net book balance</w:t>
            </w:r>
          </w:p>
        </w:tc>
        <w:tc>
          <w:tcPr>
            <w:tcW w:w="1020" w:type="dxa"/>
            <w:tcBorders>
              <w:top w:val="nil"/>
              <w:left w:val="nil"/>
              <w:bottom w:val="single" w:sz="4" w:space="0" w:color="auto"/>
              <w:right w:val="nil"/>
            </w:tcBorders>
            <w:shd w:val="clear" w:color="auto" w:fill="auto"/>
            <w:noWrap/>
            <w:vAlign w:val="bottom"/>
            <w:hideMark/>
          </w:tcPr>
          <w:p w:rsidR="009E3BAE" w:rsidRPr="009E3BAE" w:rsidRDefault="009E3BAE" w:rsidP="009E3BAE">
            <w:pPr>
              <w:spacing w:after="0"/>
              <w:jc w:val="right"/>
              <w:rPr>
                <w:rFonts w:ascii="Arial" w:hAnsi="Arial" w:cs="Arial"/>
                <w:b/>
                <w:bCs/>
                <w:sz w:val="16"/>
                <w:szCs w:val="16"/>
              </w:rPr>
            </w:pPr>
            <w:r w:rsidRPr="009E3BAE">
              <w:rPr>
                <w:rFonts w:ascii="Arial" w:hAnsi="Arial" w:cs="Arial"/>
                <w:b/>
                <w:bCs/>
                <w:sz w:val="16"/>
                <w:szCs w:val="16"/>
              </w:rPr>
              <w:t>286</w:t>
            </w:r>
          </w:p>
        </w:tc>
        <w:tc>
          <w:tcPr>
            <w:tcW w:w="1360" w:type="dxa"/>
            <w:tcBorders>
              <w:top w:val="nil"/>
              <w:left w:val="nil"/>
              <w:bottom w:val="single" w:sz="4" w:space="0" w:color="auto"/>
              <w:right w:val="nil"/>
            </w:tcBorders>
            <w:shd w:val="clear" w:color="auto" w:fill="auto"/>
            <w:noWrap/>
            <w:vAlign w:val="bottom"/>
            <w:hideMark/>
          </w:tcPr>
          <w:p w:rsidR="009E3BAE" w:rsidRPr="009E3BAE" w:rsidRDefault="009E3BAE" w:rsidP="009E3BAE">
            <w:pPr>
              <w:spacing w:after="0"/>
              <w:jc w:val="right"/>
              <w:rPr>
                <w:rFonts w:ascii="Arial" w:hAnsi="Arial" w:cs="Arial"/>
                <w:b/>
                <w:bCs/>
                <w:sz w:val="16"/>
                <w:szCs w:val="16"/>
              </w:rPr>
            </w:pPr>
            <w:r w:rsidRPr="009E3BAE">
              <w:rPr>
                <w:rFonts w:ascii="Arial" w:hAnsi="Arial" w:cs="Arial"/>
                <w:b/>
                <w:bCs/>
                <w:sz w:val="16"/>
                <w:szCs w:val="16"/>
              </w:rPr>
              <w:t>285</w:t>
            </w:r>
          </w:p>
        </w:tc>
        <w:tc>
          <w:tcPr>
            <w:tcW w:w="1020" w:type="dxa"/>
            <w:tcBorders>
              <w:top w:val="nil"/>
              <w:left w:val="nil"/>
              <w:bottom w:val="single" w:sz="4" w:space="0" w:color="auto"/>
              <w:right w:val="nil"/>
            </w:tcBorders>
            <w:shd w:val="clear" w:color="auto" w:fill="auto"/>
            <w:noWrap/>
            <w:vAlign w:val="bottom"/>
            <w:hideMark/>
          </w:tcPr>
          <w:p w:rsidR="009E3BAE" w:rsidRPr="009E3BAE" w:rsidRDefault="009E3BAE" w:rsidP="009E3BAE">
            <w:pPr>
              <w:spacing w:after="0"/>
              <w:jc w:val="right"/>
              <w:rPr>
                <w:rFonts w:ascii="Arial" w:hAnsi="Arial" w:cs="Arial"/>
                <w:b/>
                <w:bCs/>
                <w:sz w:val="16"/>
                <w:szCs w:val="16"/>
              </w:rPr>
            </w:pPr>
            <w:r w:rsidRPr="009E3BAE">
              <w:rPr>
                <w:rFonts w:ascii="Arial" w:hAnsi="Arial" w:cs="Arial"/>
                <w:b/>
                <w:bCs/>
                <w:sz w:val="16"/>
                <w:szCs w:val="16"/>
              </w:rPr>
              <w:t>409</w:t>
            </w:r>
          </w:p>
        </w:tc>
        <w:tc>
          <w:tcPr>
            <w:tcW w:w="1020" w:type="dxa"/>
            <w:tcBorders>
              <w:top w:val="nil"/>
              <w:left w:val="nil"/>
              <w:bottom w:val="single" w:sz="4" w:space="0" w:color="auto"/>
              <w:right w:val="nil"/>
            </w:tcBorders>
            <w:shd w:val="clear" w:color="auto" w:fill="auto"/>
            <w:noWrap/>
            <w:vAlign w:val="bottom"/>
            <w:hideMark/>
          </w:tcPr>
          <w:p w:rsidR="009E3BAE" w:rsidRPr="009E3BAE" w:rsidRDefault="009E3BAE" w:rsidP="009E3BAE">
            <w:pPr>
              <w:spacing w:after="0"/>
              <w:jc w:val="right"/>
              <w:rPr>
                <w:rFonts w:ascii="Arial" w:hAnsi="Arial" w:cs="Arial"/>
                <w:b/>
                <w:bCs/>
                <w:sz w:val="16"/>
                <w:szCs w:val="16"/>
              </w:rPr>
            </w:pPr>
            <w:r w:rsidRPr="009E3BAE">
              <w:rPr>
                <w:rFonts w:ascii="Arial" w:hAnsi="Arial" w:cs="Arial"/>
                <w:b/>
                <w:bCs/>
                <w:sz w:val="16"/>
                <w:szCs w:val="16"/>
              </w:rPr>
              <w:t>980</w:t>
            </w:r>
          </w:p>
        </w:tc>
      </w:tr>
    </w:tbl>
    <w:p w:rsidR="00755436" w:rsidRPr="00F12BF0" w:rsidRDefault="00755436" w:rsidP="00136684">
      <w:pPr>
        <w:pStyle w:val="Tablenumberandreference"/>
        <w:rPr>
          <w:rFonts w:ascii="Book Antiqua" w:hAnsi="Book Antiqua" w:cs="Times New Roman"/>
          <w:b w:val="0"/>
          <w:iCs/>
          <w:color w:val="0000FF"/>
          <w:szCs w:val="20"/>
          <w:lang w:eastAsia="en-AU"/>
        </w:rPr>
      </w:pPr>
    </w:p>
    <w:sectPr w:rsidR="00755436" w:rsidRPr="00F12BF0" w:rsidSect="00410298">
      <w:headerReference w:type="even" r:id="rId25"/>
      <w:headerReference w:type="default" r:id="rId26"/>
      <w:headerReference w:type="first" r:id="rId27"/>
      <w:pgSz w:w="11906" w:h="16838" w:code="9"/>
      <w:pgMar w:top="2665"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696" w:rsidRDefault="00EC0696" w:rsidP="00E45C02">
      <w:pPr>
        <w:spacing w:after="0"/>
      </w:pPr>
      <w:r>
        <w:separator/>
      </w:r>
    </w:p>
  </w:endnote>
  <w:endnote w:type="continuationSeparator" w:id="0">
    <w:p w:rsidR="00EC0696" w:rsidRDefault="00EC0696" w:rsidP="00E45C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49545"/>
      <w:docPartObj>
        <w:docPartGallery w:val="Page Numbers (Bottom of Page)"/>
        <w:docPartUnique/>
      </w:docPartObj>
    </w:sdtPr>
    <w:sdtEndPr/>
    <w:sdtContent>
      <w:p w:rsidR="00811023" w:rsidRPr="00B93660" w:rsidRDefault="00811023" w:rsidP="0023186F">
        <w:pPr>
          <w:pStyle w:val="Footer"/>
        </w:pPr>
        <w:r w:rsidRPr="00B93660">
          <w:fldChar w:fldCharType="begin"/>
        </w:r>
        <w:r w:rsidRPr="00B93660">
          <w:instrText xml:space="preserve"> PAGE   \* MERGEFORMAT </w:instrText>
        </w:r>
        <w:r w:rsidRPr="00B93660">
          <w:fldChar w:fldCharType="separate"/>
        </w:r>
        <w:r w:rsidR="00C11C8B">
          <w:rPr>
            <w:noProof/>
          </w:rPr>
          <w:t>404</w:t>
        </w:r>
        <w:r w:rsidRPr="00B93660">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675040"/>
      <w:docPartObj>
        <w:docPartGallery w:val="Page Numbers (Bottom of Page)"/>
        <w:docPartUnique/>
      </w:docPartObj>
    </w:sdtPr>
    <w:sdtEndPr/>
    <w:sdtContent>
      <w:p w:rsidR="00811023" w:rsidRPr="00DC6E9A" w:rsidRDefault="00811023">
        <w:pPr>
          <w:pStyle w:val="Footer"/>
        </w:pPr>
        <w:r w:rsidRPr="00DC6E9A">
          <w:fldChar w:fldCharType="begin"/>
        </w:r>
        <w:r w:rsidRPr="00DC6E9A">
          <w:instrText xml:space="preserve"> PAGE   \* MERGEFORMAT </w:instrText>
        </w:r>
        <w:r w:rsidRPr="00DC6E9A">
          <w:fldChar w:fldCharType="separate"/>
        </w:r>
        <w:r>
          <w:rPr>
            <w:noProof/>
          </w:rPr>
          <w:t>443</w:t>
        </w:r>
        <w:r w:rsidRPr="00DC6E9A">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285872"/>
      <w:docPartObj>
        <w:docPartGallery w:val="Page Numbers (Bottom of Page)"/>
        <w:docPartUnique/>
      </w:docPartObj>
    </w:sdtPr>
    <w:sdtEndPr/>
    <w:sdtContent>
      <w:p w:rsidR="00811023" w:rsidRDefault="00811023" w:rsidP="00661A1E">
        <w:pPr>
          <w:pStyle w:val="Footer"/>
          <w:pBdr>
            <w:top w:val="none" w:sz="0" w:space="0" w:color="auto"/>
          </w:pBdr>
        </w:pPr>
        <w:r w:rsidRPr="00B93660">
          <w:fldChar w:fldCharType="begin"/>
        </w:r>
        <w:r w:rsidRPr="00B93660">
          <w:instrText xml:space="preserve"> PAGE   \* MERGEFORMAT </w:instrText>
        </w:r>
        <w:r w:rsidRPr="00B93660">
          <w:fldChar w:fldCharType="separate"/>
        </w:r>
        <w:r w:rsidR="00C11C8B">
          <w:rPr>
            <w:noProof/>
          </w:rPr>
          <w:t>403</w:t>
        </w:r>
        <w:r w:rsidRPr="00B93660">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158959"/>
      <w:docPartObj>
        <w:docPartGallery w:val="Page Numbers (Bottom of Page)"/>
        <w:docPartUnique/>
      </w:docPartObj>
    </w:sdtPr>
    <w:sdtEndPr/>
    <w:sdtContent>
      <w:p w:rsidR="00811023" w:rsidRDefault="00811023" w:rsidP="00074593">
        <w:pPr>
          <w:pStyle w:val="Footer"/>
        </w:pPr>
        <w:r w:rsidRPr="00DC6E9A">
          <w:fldChar w:fldCharType="begin"/>
        </w:r>
        <w:r w:rsidRPr="00DC6E9A">
          <w:instrText xml:space="preserve"> PAGE   \* MERGEFORMAT </w:instrText>
        </w:r>
        <w:r w:rsidRPr="00DC6E9A">
          <w:fldChar w:fldCharType="separate"/>
        </w:r>
        <w:r w:rsidR="00C11C8B">
          <w:rPr>
            <w:noProof/>
          </w:rPr>
          <w:t>405</w:t>
        </w:r>
        <w:r w:rsidRPr="00DC6E9A">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023" w:rsidRPr="00B93660" w:rsidRDefault="00811023" w:rsidP="00806486">
    <w:pPr>
      <w:pStyle w:val="Footer"/>
      <w:tabs>
        <w:tab w:val="center" w:pos="3685"/>
        <w:tab w:val="left" w:pos="6574"/>
      </w:tabs>
      <w:jc w:val="left"/>
    </w:pPr>
    <w:r>
      <w:tab/>
    </w:r>
    <w:sdt>
      <w:sdtPr>
        <w:id w:val="-298850158"/>
        <w:docPartObj>
          <w:docPartGallery w:val="Page Numbers (Bottom of Page)"/>
          <w:docPartUnique/>
        </w:docPartObj>
      </w:sdtPr>
      <w:sdtEndPr/>
      <w:sdtContent>
        <w:r w:rsidRPr="00B93660">
          <w:fldChar w:fldCharType="begin"/>
        </w:r>
        <w:r w:rsidRPr="00B93660">
          <w:instrText xml:space="preserve"> PAGE   \* MERGEFORMAT </w:instrText>
        </w:r>
        <w:r w:rsidRPr="00B93660">
          <w:fldChar w:fldCharType="separate"/>
        </w:r>
        <w:r w:rsidR="00C11C8B">
          <w:rPr>
            <w:noProof/>
          </w:rPr>
          <w:t>418</w:t>
        </w:r>
        <w:r w:rsidRPr="00B93660">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952934"/>
      <w:docPartObj>
        <w:docPartGallery w:val="Page Numbers (Bottom of Page)"/>
        <w:docPartUnique/>
      </w:docPartObj>
    </w:sdtPr>
    <w:sdtEndPr/>
    <w:sdtContent>
      <w:p w:rsidR="00811023" w:rsidRPr="00DC6E9A" w:rsidRDefault="00811023">
        <w:pPr>
          <w:pStyle w:val="Footer"/>
        </w:pPr>
        <w:r w:rsidRPr="00DC6E9A">
          <w:fldChar w:fldCharType="begin"/>
        </w:r>
        <w:r w:rsidRPr="00DC6E9A">
          <w:instrText xml:space="preserve"> PAGE   \* MERGEFORMAT </w:instrText>
        </w:r>
        <w:r w:rsidRPr="00DC6E9A">
          <w:fldChar w:fldCharType="separate"/>
        </w:r>
        <w:r w:rsidR="00C11C8B">
          <w:rPr>
            <w:noProof/>
          </w:rPr>
          <w:t>417</w:t>
        </w:r>
        <w:r w:rsidRPr="00DC6E9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696" w:rsidRDefault="00EC0696" w:rsidP="00E45C02">
      <w:pPr>
        <w:spacing w:after="0"/>
      </w:pPr>
      <w:r>
        <w:separator/>
      </w:r>
    </w:p>
  </w:footnote>
  <w:footnote w:type="continuationSeparator" w:id="0">
    <w:p w:rsidR="00EC0696" w:rsidRDefault="00EC0696" w:rsidP="00E45C02">
      <w:pPr>
        <w:spacing w:after="0"/>
      </w:pPr>
      <w:r>
        <w:continuationSeparator/>
      </w:r>
    </w:p>
  </w:footnote>
  <w:footnote w:id="1">
    <w:p w:rsidR="00811023" w:rsidRPr="00E155BC" w:rsidRDefault="00811023" w:rsidP="00F409FB">
      <w:pPr>
        <w:pStyle w:val="FootnoteText"/>
        <w:rPr>
          <w:rFonts w:cs="Arial"/>
        </w:rPr>
      </w:pPr>
      <w:r w:rsidRPr="00E155BC">
        <w:rPr>
          <w:rStyle w:val="FootnoteReference"/>
          <w:rFonts w:cs="Arial"/>
        </w:rPr>
        <w:footnoteRef/>
      </w:r>
      <w:r w:rsidRPr="00E155BC">
        <w:rPr>
          <w:rFonts w:cs="Arial"/>
        </w:rPr>
        <w:tab/>
        <w:t xml:space="preserve">For more information about the strategic direction of the PSR, refer to the current </w:t>
      </w:r>
      <w:r>
        <w:rPr>
          <w:rFonts w:cs="Arial"/>
        </w:rPr>
        <w:t>C</w:t>
      </w:r>
      <w:r w:rsidRPr="00E155BC">
        <w:rPr>
          <w:rFonts w:cs="Arial"/>
        </w:rPr>
        <w:t xml:space="preserve">orporate </w:t>
      </w:r>
      <w:r>
        <w:rPr>
          <w:rFonts w:cs="Arial"/>
        </w:rPr>
        <w:t>P</w:t>
      </w:r>
      <w:r w:rsidRPr="00E155BC">
        <w:rPr>
          <w:rFonts w:cs="Arial"/>
        </w:rPr>
        <w:t>lan, available at: www.psr.gov.au/publications-and-resources/governance-and-corporate-documents</w:t>
      </w:r>
    </w:p>
  </w:footnote>
  <w:footnote w:id="2">
    <w:p w:rsidR="00811023" w:rsidRPr="00E155BC" w:rsidRDefault="00811023" w:rsidP="002D0C83">
      <w:pPr>
        <w:pStyle w:val="FootnoteText"/>
        <w:rPr>
          <w:rFonts w:cs="Arial"/>
        </w:rPr>
      </w:pPr>
      <w:r w:rsidRPr="00E155BC">
        <w:rPr>
          <w:rStyle w:val="FootnoteReference"/>
          <w:rFonts w:cs="Arial"/>
        </w:rPr>
        <w:footnoteRef/>
      </w:r>
      <w:r w:rsidRPr="00E155BC">
        <w:rPr>
          <w:rFonts w:cs="Arial"/>
        </w:rPr>
        <w:tab/>
        <w:t xml:space="preserve">The Determining Authority is the body established by section 106Q of the </w:t>
      </w:r>
      <w:r w:rsidRPr="00E155BC">
        <w:rPr>
          <w:rFonts w:cs="Arial"/>
          <w:i/>
        </w:rPr>
        <w:t xml:space="preserve">Health Insurance Act 1973 </w:t>
      </w:r>
      <w:r w:rsidRPr="00E155BC">
        <w:rPr>
          <w:rFonts w:cs="Arial"/>
        </w:rPr>
        <w:t>that determines the sanctions that should be applied in cases where PSR committees have found inappropriate practice, and decides whether or not to ratify negotiated agreements.</w:t>
      </w:r>
    </w:p>
  </w:footnote>
  <w:footnote w:id="3">
    <w:p w:rsidR="00811023" w:rsidRDefault="00811023">
      <w:pPr>
        <w:pStyle w:val="FootnoteText"/>
      </w:pPr>
      <w:r>
        <w:rPr>
          <w:rStyle w:val="FootnoteReference"/>
        </w:rPr>
        <w:footnoteRef/>
      </w:r>
      <w:r>
        <w:tab/>
        <w:t>Reviews are requested by the Chief Executive Medicare to the Director of PSR.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023" w:rsidRPr="007639D4" w:rsidRDefault="00811023" w:rsidP="0011675D">
    <w:pPr>
      <w:framePr w:w="851" w:h="1701" w:hRule="exact" w:wrap="around" w:vAnchor="page" w:hAnchor="margin" w:x="7939" w:y="2666" w:anchorLock="1"/>
      <w:shd w:val="pct95" w:color="auto" w:fill="auto"/>
      <w:jc w:val="center"/>
      <w:textDirection w:val="btLr"/>
      <w:rPr>
        <w:rFonts w:cs="Arial"/>
        <w:spacing w:val="20"/>
        <w:sz w:val="8"/>
        <w:szCs w:val="8"/>
      </w:rPr>
    </w:pPr>
    <w:r>
      <w:rPr>
        <w:noProof/>
      </w:rPr>
      <mc:AlternateContent>
        <mc:Choice Requires="wps">
          <w:drawing>
            <wp:anchor distT="0" distB="0" distL="114300" distR="114300" simplePos="0" relativeHeight="251663360" behindDoc="1" locked="0" layoutInCell="0" allowOverlap="1" wp14:anchorId="6A4094A1" wp14:editId="4A92DCE6">
              <wp:simplePos x="0" y="0"/>
              <wp:positionH relativeFrom="margin">
                <wp:align>center</wp:align>
              </wp:positionH>
              <wp:positionV relativeFrom="margin">
                <wp:align>center</wp:align>
              </wp:positionV>
              <wp:extent cx="7267575" cy="847725"/>
              <wp:effectExtent l="0" t="2305050" r="0" b="2286000"/>
              <wp:wrapNone/>
              <wp:docPr id="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67575" cy="8477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11023" w:rsidRDefault="00811023" w:rsidP="00216279">
                          <w:pPr>
                            <w:pStyle w:val="NormalWeb"/>
                            <w:spacing w:before="0" w:beforeAutospacing="0" w:after="0" w:afterAutospacing="0"/>
                            <w:jc w:val="center"/>
                          </w:pPr>
                          <w:r>
                            <w:rPr>
                              <w:rFonts w:ascii="Arial" w:hAnsi="Arial" w:cs="Arial"/>
                              <w:color w:val="C0C0C0"/>
                              <w:sz w:val="120"/>
                              <w:szCs w:val="120"/>
                              <w14:textFill>
                                <w14:solidFill>
                                  <w14:srgbClr w14:val="C0C0C0">
                                    <w14:alpha w14:val="50000"/>
                                  </w14:srgbClr>
                                </w14:solidFill>
                              </w14:textFill>
                            </w:rPr>
                            <w:t>DRAFT - 9 April 2018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4094A1" id="_x0000_t202" coordsize="21600,21600" o:spt="202" path="m,l,21600r21600,l21600,xe">
              <v:stroke joinstyle="miter"/>
              <v:path gradientshapeok="t" o:connecttype="rect"/>
            </v:shapetype>
            <v:shape id="WordArt 3" o:spid="_x0000_s1026" type="#_x0000_t202" style="position:absolute;left:0;text-align:left;margin-left:0;margin-top:0;width:572.25pt;height:66.7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GFyhgIAAPsEAAAOAAAAZHJzL2Uyb0RvYy54bWysVE2PmzAQvVfqf7B8zwIpCQEtWe1H08u2&#10;XWlT7dnBJrgFj2s7gajqf+/YsF/tpaqag2MPw5s38545vxi6lhyFsRJUSZOzmBKhKuBS7Uv6ZbuZ&#10;rSixjinOWlCipCdh6cX67ZvzXhdiDg20XBiCIMoWvS5p45wuoshWjeiYPQMtFD6swXTM4dHsI25Y&#10;j+hdG83jeBn1YLg2UAlrMXozPqTrgF/XonKf69oKR9qSIjcXVhPWnV+j9Tkr9obpRlYTDfYPLDom&#10;FRZ9grphjpGDkX9AdbIyYKF2ZxV0EdS1rEToAbtJ4t+6uW+YFqEXHI7VT2Oy/w+2+nS8M0Tyki4p&#10;UaxDiR5wopfGkXd+OL22Bebca8xywxUMKHJo1OpbqL5ZouC6YWovLo2BvhGMI7kEoaZwaGF70ogb&#10;olsxuPdcog6Jh49e4I/FrK+06z8Cx1fYwUGoNtSmIwb8a6s89r8QxvkRZITCnp7ExAKkwmA2X2aL&#10;bEFJhc9WaZbNF6EiKzyY10ob6z4I6IjflNSgWQIqO95a58k9p/h0BMb4tBvF/ZEn8zS+muezzXKV&#10;zdJNupjlWbyaxUl+lS/jNE9vNj89aJIWjeRcqFupxKPRkvTvhJwsP1okWI30Jc0X2JGnY6GVfCPb&#10;NhzMfnfdGnJk3vHjqMZeXqUZOCiOcVZ4zd5Pe8dkO+6j14zDMHAAj/9hEEE8r9eonBt2AyJ6RXfA&#10;Tyhjj/eqpPb7gRmBljh014Ck0Ae1gW6ymT97Gl6D7fDAjJ7kcFjurn28V0ETn7fnk00Z/4pAXYvX&#10;FXsli2CKsdMpedJvRA2z0ZdoqI0M4j7znGyINyy0N30N/BV+eQ5Zz9+s9S8AAAD//wMAUEsDBBQA&#10;BgAIAAAAIQCu9iqK2wAAAAYBAAAPAAAAZHJzL2Rvd25yZXYueG1sTI9BT8MwDIXvSPyHyJO4sXR0&#10;Q6g0nRAVhx23Ic5e47VliVOadO349WRc4GI961nvfc7XkzXiTL1vHStYzBMQxJXTLdcK3vdv908g&#10;fEDWaByTggt5WBe3Nzlm2o28pfMu1CKGsM9QQRNCl0npq4Ys+rnriKN3dL3FENe+lrrHMYZbIx+S&#10;5FFabDk2NNjRa0PVaTdYBfr7eOnScdxvNtty+DJtWdLHp1J3s+nlGUSgKfwdwxU/okMRmQ5uYO2F&#10;URAfCb/z6i2WyxWIQ1RpugJZ5PI/fvEDAAD//wMAUEsBAi0AFAAGAAgAAAAhALaDOJL+AAAA4QEA&#10;ABMAAAAAAAAAAAAAAAAAAAAAAFtDb250ZW50X1R5cGVzXS54bWxQSwECLQAUAAYACAAAACEAOP0h&#10;/9YAAACUAQAACwAAAAAAAAAAAAAAAAAvAQAAX3JlbHMvLnJlbHNQSwECLQAUAAYACAAAACEAONhh&#10;coYCAAD7BAAADgAAAAAAAAAAAAAAAAAuAgAAZHJzL2Uyb0RvYy54bWxQSwECLQAUAAYACAAAACEA&#10;rvYqitsAAAAGAQAADwAAAAAAAAAAAAAAAADgBAAAZHJzL2Rvd25yZXYueG1sUEsFBgAAAAAEAAQA&#10;8wAAAOgFAAAAAA==&#10;" o:allowincell="f" filled="f" stroked="f">
              <v:stroke joinstyle="round"/>
              <o:lock v:ext="edit" shapetype="t"/>
              <v:textbox style="mso-fit-shape-to-text:t">
                <w:txbxContent>
                  <w:p w:rsidR="00811023" w:rsidRDefault="00811023" w:rsidP="00216279">
                    <w:pPr>
                      <w:pStyle w:val="NormalWeb"/>
                      <w:spacing w:before="0" w:beforeAutospacing="0" w:after="0" w:afterAutospacing="0"/>
                      <w:jc w:val="center"/>
                    </w:pPr>
                    <w:r>
                      <w:rPr>
                        <w:rFonts w:ascii="Arial" w:hAnsi="Arial" w:cs="Arial"/>
                        <w:color w:val="C0C0C0"/>
                        <w:sz w:val="120"/>
                        <w:szCs w:val="120"/>
                        <w14:textFill>
                          <w14:solidFill>
                            <w14:srgbClr w14:val="C0C0C0">
                              <w14:alpha w14:val="50000"/>
                            </w14:srgbClr>
                          </w14:solidFill>
                        </w14:textFill>
                      </w:rPr>
                      <w:t>DRAFT - 9 April 2018</w:t>
                    </w:r>
                  </w:p>
                </w:txbxContent>
              </v:textbox>
              <w10:wrap anchorx="margin" anchory="margin"/>
            </v:shape>
          </w:pict>
        </mc:Fallback>
      </mc:AlternateContent>
    </w:r>
  </w:p>
  <w:p w:rsidR="00811023" w:rsidRPr="007639D4" w:rsidRDefault="00811023" w:rsidP="0011675D">
    <w:pPr>
      <w:framePr w:w="851" w:h="1701" w:hRule="exact" w:wrap="around" w:vAnchor="page" w:hAnchor="margin" w:x="7939" w:y="2666" w:anchorLock="1"/>
      <w:shd w:val="pct95" w:color="auto" w:fill="auto"/>
      <w:jc w:val="center"/>
      <w:textDirection w:val="btLr"/>
      <w:rPr>
        <w:rFonts w:ascii="Arial Bold" w:hAnsi="Arial Bold" w:cs="Arial"/>
        <w:b/>
        <w:spacing w:val="10"/>
      </w:rPr>
    </w:pPr>
    <w:r>
      <w:rPr>
        <w:rFonts w:cs="Arial"/>
        <w:spacing w:val="20"/>
        <w:sz w:val="22"/>
        <w:szCs w:val="22"/>
      </w:rPr>
      <w:t>ASC</w:t>
    </w:r>
  </w:p>
  <w:p w:rsidR="00811023" w:rsidRDefault="00811023" w:rsidP="004009F2">
    <w:pPr>
      <w:pStyle w:val="Header1-Right"/>
    </w:pPr>
    <w:r>
      <w:t>ASC – Entity Budget Statements – Entity Overview and Resources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023" w:rsidRPr="007639D4" w:rsidRDefault="00811023" w:rsidP="004A5E57">
    <w:pPr>
      <w:framePr w:w="851" w:h="1701" w:hRule="exact" w:wrap="around" w:vAnchor="page" w:hAnchor="margin" w:x="7939" w:y="12588" w:anchorLock="1"/>
      <w:shd w:val="pct95" w:color="auto" w:fill="auto"/>
      <w:jc w:val="center"/>
      <w:textDirection w:val="btLr"/>
      <w:rPr>
        <w:rFonts w:cs="Arial"/>
        <w:spacing w:val="20"/>
        <w:sz w:val="8"/>
        <w:szCs w:val="8"/>
      </w:rPr>
    </w:pPr>
  </w:p>
  <w:p w:rsidR="00811023" w:rsidRPr="00C01ABA" w:rsidRDefault="00811023" w:rsidP="004A5E57">
    <w:pPr>
      <w:framePr w:w="851" w:h="1701" w:hRule="exact" w:wrap="around" w:vAnchor="page" w:hAnchor="margin" w:x="7939" w:y="12588" w:anchorLock="1"/>
      <w:shd w:val="pct95" w:color="auto" w:fill="auto"/>
      <w:jc w:val="center"/>
      <w:textDirection w:val="btLr"/>
      <w:rPr>
        <w:rFonts w:ascii="Arial" w:hAnsi="Arial" w:cs="Arial"/>
        <w:b/>
        <w:color w:val="FFFFFF" w:themeColor="background1"/>
        <w:spacing w:val="10"/>
        <w:sz w:val="24"/>
      </w:rPr>
    </w:pPr>
    <w:r w:rsidRPr="00C01ABA">
      <w:rPr>
        <w:rFonts w:ascii="Arial" w:hAnsi="Arial" w:cs="Arial"/>
        <w:b/>
        <w:color w:val="FFFFFF" w:themeColor="background1"/>
        <w:spacing w:val="10"/>
        <w:sz w:val="24"/>
      </w:rPr>
      <w:t>PSR</w:t>
    </w:r>
  </w:p>
  <w:p w:rsidR="00811023" w:rsidRDefault="00811023" w:rsidP="004009F2">
    <w:pPr>
      <w:pStyle w:val="Header1-Right"/>
    </w:pPr>
    <w:r>
      <w:t>PSR – Section 2 – Outcomes and Planned Performance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023" w:rsidRDefault="00811023">
    <w:pPr>
      <w:pStyle w:val="Header"/>
    </w:pPr>
    <w:r>
      <w:rPr>
        <w:noProof/>
      </w:rPr>
      <mc:AlternateContent>
        <mc:Choice Requires="wps">
          <w:drawing>
            <wp:anchor distT="0" distB="0" distL="114300" distR="114300" simplePos="0" relativeHeight="251677696" behindDoc="1" locked="0" layoutInCell="0" allowOverlap="1">
              <wp:simplePos x="0" y="0"/>
              <wp:positionH relativeFrom="margin">
                <wp:align>center</wp:align>
              </wp:positionH>
              <wp:positionV relativeFrom="margin">
                <wp:align>center</wp:align>
              </wp:positionV>
              <wp:extent cx="7267575" cy="847725"/>
              <wp:effectExtent l="0" t="2305050" r="0" b="2286000"/>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67575" cy="8477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11023" w:rsidRDefault="00811023" w:rsidP="00216279">
                          <w:pPr>
                            <w:pStyle w:val="NormalWeb"/>
                            <w:spacing w:before="0" w:beforeAutospacing="0" w:after="0" w:afterAutospacing="0"/>
                            <w:jc w:val="center"/>
                          </w:pPr>
                          <w:r>
                            <w:rPr>
                              <w:rFonts w:ascii="Arial" w:hAnsi="Arial" w:cs="Arial"/>
                              <w:color w:val="C0C0C0"/>
                              <w:sz w:val="120"/>
                              <w:szCs w:val="120"/>
                              <w14:textFill>
                                <w14:solidFill>
                                  <w14:srgbClr w14:val="C0C0C0">
                                    <w14:alpha w14:val="50000"/>
                                  </w14:srgbClr>
                                </w14:solidFill>
                              </w14:textFill>
                            </w:rPr>
                            <w:t>DRAFT - 9 April 2018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31" type="#_x0000_t202" style="position:absolute;margin-left:0;margin-top:0;width:572.25pt;height:66.75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N5iAIAAAMFAAAOAAAAZHJzL2Uyb0RvYy54bWysVMlu2zAQvRfoPxC8O1ogLxIiB9ncS9oG&#10;iIucaZGy2EokS9KWjKL/3uFI2dpLUdQHmhyN3sy896jzi6FryVFYJ7UqaXIWUyJUpblU+5J+2W5m&#10;K0qcZ4qzVitR0pNw9GL9/t15bwqR6ka3XFgCIMoVvSlp470poshVjeiYO9NGKHhYa9sxD0e7j7hl&#10;PaB3bZTG8SLqteXG6ko4B9Gb8SFdI35di8p/rmsnPGlLCr15XC2uu7BG63NW7C0zjaymNtg/dNEx&#10;qaDoM9QN84wcrPwDqpOV1U7X/qzSXaTrWlYCZ4Bpkvi3aR4aZgTOAuQ480yT+3+w1afjvSWSlzSl&#10;RLEOJHoERi+tJwmy0xtXQNKDgTQ/XOkBVMZJnbnT1TdHlL5umNqLS2t13wjGobsEsKYwzrA9GQDG&#10;6FYM/pZLECIJ5Eev8INornCh0q7/qDm8wg5eY7Whth2xOry2yuPwwzAQSKAjUPb0rCYUIBUEl+li&#10;OV/OKang2SpbLtM5VmRFAAtiGev8B6E7EjYlteAWRGXHO+dDcy8pIR2AIT7tRnV/5EmaxVdpPtss&#10;VstZtsnms3wZr2Zxkl/lizjLs5vNzwCaZEUjORfqTirx5LQk+zslJ8+PHkGvkb6k+RwmCu043Uq+&#10;kW2LB7vfXbeWHFmw/EjVOMubNKsPiqP7g2a3094z2Y776G3HSAYQ8PSPRKB4Qa9ROT/sBrQS8hy0&#10;3Gl+AjV7uF8ldd8PzApwxqG71tAb2KG2upvsFs6h/SDFdnhk1kyqeKh63z7dL5Qm5O35ZFfGvwJQ&#10;18K1hZHJHL0xDjwlTzKOqEiRuQRfbSRq/NLn5Ea4aTjl9FUIV/n1GbNevl3rXwAAAP//AwBQSwME&#10;FAAGAAgAAAAhAK72KorbAAAABgEAAA8AAABkcnMvZG93bnJldi54bWxMj0FPwzAMhe9I/IfIk7ix&#10;dHRDqDSdEBWHHbchzl7jtWWJU5p07fj1ZFzgYj3rWe99zteTNeJMvW8dK1jMExDEldMt1wre92/3&#10;TyB8QNZoHJOCC3lYF7c3OWbajbyl8y7UIoawz1BBE0KXSemrhiz6ueuIo3d0vcUQ176Wuscxhlsj&#10;H5LkUVpsOTY02NFrQ9VpN1gF+vt46dJx3G8223L4Mm1Z0senUnez6eUZRKAp/B3DFT+iQxGZDm5g&#10;7YVREB8Jv/PqLZbLFYhDVGm6Alnk8j9+8QMAAP//AwBQSwECLQAUAAYACAAAACEAtoM4kv4AAADh&#10;AQAAEwAAAAAAAAAAAAAAAAAAAAAAW0NvbnRlbnRfVHlwZXNdLnhtbFBLAQItABQABgAIAAAAIQA4&#10;/SH/1gAAAJQBAAALAAAAAAAAAAAAAAAAAC8BAABfcmVscy8ucmVsc1BLAQItABQABgAIAAAAIQAU&#10;aVN5iAIAAAMFAAAOAAAAAAAAAAAAAAAAAC4CAABkcnMvZTJvRG9jLnhtbFBLAQItABQABgAIAAAA&#10;IQCu9iqK2wAAAAYBAAAPAAAAAAAAAAAAAAAAAOIEAABkcnMvZG93bnJldi54bWxQSwUGAAAAAAQA&#10;BADzAAAA6gUAAAAA&#10;" o:allowincell="f" filled="f" stroked="f">
              <v:stroke joinstyle="round"/>
              <o:lock v:ext="edit" shapetype="t"/>
              <v:textbox style="mso-fit-shape-to-text:t">
                <w:txbxContent>
                  <w:p w:rsidR="00811023" w:rsidRDefault="00811023" w:rsidP="00216279">
                    <w:pPr>
                      <w:pStyle w:val="NormalWeb"/>
                      <w:spacing w:before="0" w:beforeAutospacing="0" w:after="0" w:afterAutospacing="0"/>
                      <w:jc w:val="center"/>
                    </w:pPr>
                    <w:r>
                      <w:rPr>
                        <w:rFonts w:ascii="Arial" w:hAnsi="Arial" w:cs="Arial"/>
                        <w:color w:val="C0C0C0"/>
                        <w:sz w:val="120"/>
                        <w:szCs w:val="120"/>
                        <w14:textFill>
                          <w14:solidFill>
                            <w14:srgbClr w14:val="C0C0C0">
                              <w14:alpha w14:val="50000"/>
                            </w14:srgbClr>
                          </w14:solidFill>
                        </w14:textFill>
                      </w:rPr>
                      <w:t>DRAFT - 9 April 2018</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023" w:rsidRDefault="00811023" w:rsidP="00B93660">
    <w:pPr>
      <w:pStyle w:val="Header2-Left"/>
    </w:pPr>
    <w:r>
      <w:t>Budget Statements – PSR</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023" w:rsidRPr="007639D4" w:rsidRDefault="00811023" w:rsidP="004D5CA0">
    <w:pPr>
      <w:framePr w:w="851" w:h="1701" w:hRule="exact" w:wrap="around" w:vAnchor="page" w:hAnchor="margin" w:x="7939" w:y="12588" w:anchorLock="1"/>
      <w:shd w:val="pct95" w:color="auto" w:fill="auto"/>
      <w:jc w:val="center"/>
      <w:textDirection w:val="btLr"/>
      <w:rPr>
        <w:rFonts w:cs="Arial"/>
        <w:spacing w:val="20"/>
        <w:sz w:val="8"/>
        <w:szCs w:val="8"/>
      </w:rPr>
    </w:pPr>
  </w:p>
  <w:p w:rsidR="00811023" w:rsidRPr="004D5CA0" w:rsidRDefault="00811023" w:rsidP="004D5CA0">
    <w:pPr>
      <w:framePr w:w="851" w:h="1701" w:hRule="exact" w:wrap="around" w:vAnchor="page" w:hAnchor="margin" w:x="7939" w:y="12588" w:anchorLock="1"/>
      <w:shd w:val="pct95" w:color="auto" w:fill="auto"/>
      <w:jc w:val="center"/>
      <w:textDirection w:val="btLr"/>
      <w:rPr>
        <w:rFonts w:ascii="Arial" w:hAnsi="Arial" w:cs="Arial"/>
        <w:b/>
        <w:color w:val="FFFFFF" w:themeColor="background1"/>
        <w:spacing w:val="10"/>
        <w:sz w:val="24"/>
      </w:rPr>
    </w:pPr>
    <w:r w:rsidRPr="004D5CA0">
      <w:rPr>
        <w:rFonts w:ascii="Arial" w:hAnsi="Arial" w:cs="Arial"/>
        <w:b/>
        <w:color w:val="FFFFFF" w:themeColor="background1"/>
        <w:spacing w:val="10"/>
        <w:sz w:val="24"/>
      </w:rPr>
      <w:t>PSR</w:t>
    </w:r>
  </w:p>
  <w:p w:rsidR="00811023" w:rsidRDefault="00811023" w:rsidP="004009F2">
    <w:pPr>
      <w:pStyle w:val="Header1-Right"/>
    </w:pPr>
    <w:r>
      <w:t>PSR – Section 3 – Budgeted Financial Statements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023" w:rsidRDefault="00811023">
    <w:pPr>
      <w:pStyle w:val="Header"/>
    </w:pPr>
    <w:r>
      <w:rPr>
        <w:noProof/>
      </w:rPr>
      <mc:AlternateContent>
        <mc:Choice Requires="wps">
          <w:drawing>
            <wp:anchor distT="0" distB="0" distL="114300" distR="114300" simplePos="0" relativeHeight="251683840" behindDoc="1" locked="0" layoutInCell="0" allowOverlap="1">
              <wp:simplePos x="0" y="0"/>
              <wp:positionH relativeFrom="margin">
                <wp:align>center</wp:align>
              </wp:positionH>
              <wp:positionV relativeFrom="margin">
                <wp:align>center</wp:align>
              </wp:positionV>
              <wp:extent cx="7267575" cy="847725"/>
              <wp:effectExtent l="0" t="2305050" r="0" b="2286000"/>
              <wp:wrapNone/>
              <wp:docPr id="1"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67575" cy="8477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11023" w:rsidRDefault="00811023" w:rsidP="00216279">
                          <w:pPr>
                            <w:pStyle w:val="NormalWeb"/>
                            <w:spacing w:before="0" w:beforeAutospacing="0" w:after="0" w:afterAutospacing="0"/>
                            <w:jc w:val="center"/>
                          </w:pPr>
                          <w:r>
                            <w:rPr>
                              <w:rFonts w:ascii="Arial" w:hAnsi="Arial" w:cs="Arial"/>
                              <w:color w:val="C0C0C0"/>
                              <w:sz w:val="120"/>
                              <w:szCs w:val="120"/>
                              <w14:textFill>
                                <w14:solidFill>
                                  <w14:srgbClr w14:val="C0C0C0">
                                    <w14:alpha w14:val="50000"/>
                                  </w14:srgbClr>
                                </w14:solidFill>
                              </w14:textFill>
                            </w:rPr>
                            <w:t>DRAFT - 9 April 2018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 o:spid="_x0000_s1032" type="#_x0000_t202" style="position:absolute;margin-left:0;margin-top:0;width:572.25pt;height:66.75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Q0iQIAAAMFAAAOAAAAZHJzL2Uyb0RvYy54bWysVMtu2zAQvBfoPxC8O5Jc2bKEyIGdxL2k&#10;bYC4yJkWKYut+ChJWzKC/nuXlJxHeymK+kCTq9Xszs5Ql1e9aNGRGcuVLHFyEWPEZKUol/sSf91u&#10;JguMrCOSklZJVuITs/hq+f7dZacLNlWNaikzCECkLTpd4sY5XUSRrRomiL1Qmkl4WCsjiIOj2UfU&#10;kA7QRRtN43gedcpQbVTFrIXozfAQLwN+XbPKfalryxxqSwy9ubCasO78Gi0vSbE3RDe8Gtsg/9CF&#10;IFxC0WeoG+IIOhj+B5TglVFW1e6iUiJSdc0rFjgAmyT+jc1DQzQLXGA4Vj+Pyf4/2Orz8d4gTkE7&#10;jCQRINEjTHRlHEo++Ol02haQ9KAhzfVr1ftMz9TqO1V9t0iq64bIPVsZo7qGEQrdeawxHDhsTxqA&#10;Q3TLendLOQiRePjoFf5QzPpKu+6TovAKOTgVqvW1Ecgo/9oij/0vhGGACDoCZU/PakIBVEEwm86z&#10;WTbDqIJnizTLprNQkRQezFPQxrqPTAnkNyU24JaASo531vnmXlJ8OgBDfNwN6j7lyTSN19N8spkv&#10;skm6SWeTPIsXkzjJ1/k8TvP0ZvPTgyZp0XBKmbzjkp2dlqR/p+To+cEjwWuoK3E+A0a+HataTje8&#10;bcPB7HfXrUFH4i0/jGrg8ibNqIOkECeF1+x23DvC22Efve04DAMGcP4Pgwjieb0G5Vy/64OV5mfj&#10;7BQ9gZod3K8S2x8HYhg44yCuFfQGdqiNEqPd/Nl346XY9o/E6FEVB1Xv2/P9CtL4vD0d7UroNwAS&#10;LVxboIxmwRsD4TF5lHFADSPSK/DVhgeNvQGHPkc3wk0LLMevgr/Kr88h6+XbtfwFAAD//wMAUEsD&#10;BBQABgAIAAAAIQCu9iqK2wAAAAYBAAAPAAAAZHJzL2Rvd25yZXYueG1sTI9BT8MwDIXvSPyHyJO4&#10;sXR0Q6g0nRAVhx23Ic5e47VliVOadO349WRc4GI961nvfc7XkzXiTL1vHStYzBMQxJXTLdcK3vdv&#10;908gfEDWaByTggt5WBe3Nzlm2o28pfMu1CKGsM9QQRNCl0npq4Ys+rnriKN3dL3FENe+lrrHMYZb&#10;Ix+S5FFabDk2NNjRa0PVaTdYBfr7eOnScdxvNtty+DJtWdLHp1J3s+nlGUSgKfwdwxU/okMRmQ5u&#10;YO2FURAfCb/z6i2WyxWIQ1RpugJZ5PI/fvEDAAD//wMAUEsBAi0AFAAGAAgAAAAhALaDOJL+AAAA&#10;4QEAABMAAAAAAAAAAAAAAAAAAAAAAFtDb250ZW50X1R5cGVzXS54bWxQSwECLQAUAAYACAAAACEA&#10;OP0h/9YAAACUAQAACwAAAAAAAAAAAAAAAAAvAQAAX3JlbHMvLnJlbHNQSwECLQAUAAYACAAAACEA&#10;LcFENIkCAAADBQAADgAAAAAAAAAAAAAAAAAuAgAAZHJzL2Uyb0RvYy54bWxQSwECLQAUAAYACAAA&#10;ACEArvYqitsAAAAGAQAADwAAAAAAAAAAAAAAAADjBAAAZHJzL2Rvd25yZXYueG1sUEsFBgAAAAAE&#10;AAQA8wAAAOsFAAAAAA==&#10;" o:allowincell="f" filled="f" stroked="f">
              <v:stroke joinstyle="round"/>
              <o:lock v:ext="edit" shapetype="t"/>
              <v:textbox style="mso-fit-shape-to-text:t">
                <w:txbxContent>
                  <w:p w:rsidR="00811023" w:rsidRDefault="00811023" w:rsidP="00216279">
                    <w:pPr>
                      <w:pStyle w:val="NormalWeb"/>
                      <w:spacing w:before="0" w:beforeAutospacing="0" w:after="0" w:afterAutospacing="0"/>
                      <w:jc w:val="center"/>
                    </w:pPr>
                    <w:r>
                      <w:rPr>
                        <w:rFonts w:ascii="Arial" w:hAnsi="Arial" w:cs="Arial"/>
                        <w:color w:val="C0C0C0"/>
                        <w:sz w:val="120"/>
                        <w:szCs w:val="120"/>
                        <w14:textFill>
                          <w14:solidFill>
                            <w14:srgbClr w14:val="C0C0C0">
                              <w14:alpha w14:val="50000"/>
                            </w14:srgbClr>
                          </w14:solidFill>
                        </w14:textFill>
                      </w:rPr>
                      <w:t>DRAFT - 9 April 2018</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023" w:rsidRPr="00C01ABA" w:rsidRDefault="00811023" w:rsidP="004D5CA0">
    <w:pPr>
      <w:framePr w:w="851" w:h="1701" w:hRule="exact" w:wrap="around" w:vAnchor="page" w:hAnchor="margin" w:x="7939" w:y="12588" w:anchorLock="1"/>
      <w:shd w:val="pct95" w:color="auto" w:fill="auto"/>
      <w:jc w:val="center"/>
      <w:textDirection w:val="btLr"/>
      <w:rPr>
        <w:rFonts w:ascii="Arial" w:hAnsi="Arial" w:cs="Arial"/>
        <w:color w:val="FFFFFF" w:themeColor="background1"/>
        <w:spacing w:val="20"/>
        <w:sz w:val="8"/>
        <w:szCs w:val="8"/>
      </w:rPr>
    </w:pPr>
  </w:p>
  <w:p w:rsidR="00811023" w:rsidRPr="00C01ABA" w:rsidRDefault="00811023" w:rsidP="004D5CA0">
    <w:pPr>
      <w:framePr w:w="851" w:h="1701" w:hRule="exact" w:wrap="around" w:vAnchor="page" w:hAnchor="margin" w:x="7939" w:y="12588" w:anchorLock="1"/>
      <w:shd w:val="pct95" w:color="auto" w:fill="auto"/>
      <w:jc w:val="center"/>
      <w:textDirection w:val="btLr"/>
      <w:rPr>
        <w:rFonts w:ascii="Arial" w:hAnsi="Arial" w:cs="Arial"/>
        <w:b/>
        <w:color w:val="FFFFFF" w:themeColor="background1"/>
        <w:spacing w:val="10"/>
        <w:sz w:val="24"/>
      </w:rPr>
    </w:pPr>
    <w:r w:rsidRPr="00C01ABA">
      <w:rPr>
        <w:rFonts w:ascii="Arial" w:hAnsi="Arial" w:cs="Arial"/>
        <w:b/>
        <w:color w:val="FFFFFF" w:themeColor="background1"/>
        <w:spacing w:val="10"/>
        <w:sz w:val="24"/>
      </w:rPr>
      <w:t>PSR</w:t>
    </w:r>
  </w:p>
  <w:p w:rsidR="00811023" w:rsidRDefault="00811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023" w:rsidRDefault="00811023">
    <w:pPr>
      <w:pStyle w:val="Header"/>
    </w:pPr>
    <w:r>
      <w:rPr>
        <w:noProof/>
      </w:rPr>
      <mc:AlternateContent>
        <mc:Choice Requires="wps">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7267575" cy="847725"/>
              <wp:effectExtent l="0" t="2305050" r="0" b="228600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67575" cy="8477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11023" w:rsidRDefault="00811023" w:rsidP="00216279">
                          <w:pPr>
                            <w:pStyle w:val="NormalWeb"/>
                            <w:spacing w:before="0" w:beforeAutospacing="0" w:after="0" w:afterAutospacing="0"/>
                            <w:jc w:val="center"/>
                          </w:pPr>
                          <w:r>
                            <w:rPr>
                              <w:rFonts w:ascii="Arial" w:hAnsi="Arial" w:cs="Arial"/>
                              <w:color w:val="C0C0C0"/>
                              <w:sz w:val="120"/>
                              <w:szCs w:val="120"/>
                              <w14:textFill>
                                <w14:solidFill>
                                  <w14:srgbClr w14:val="C0C0C0">
                                    <w14:alpha w14:val="50000"/>
                                  </w14:srgbClr>
                                </w14:solidFill>
                              </w14:textFill>
                            </w:rPr>
                            <w:t>DRAFT - 9 April 2018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7" type="#_x0000_t202" style="position:absolute;margin-left:0;margin-top:0;width:572.25pt;height:66.7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nKhwIAAAIFAAAOAAAAZHJzL2Uyb0RvYy54bWysVE2PmzAQvVfqf7B8zwIRCQEtWe1Xetm2&#10;K22qPTvYBLfgcW0nEFX97x0b9qu9VFVzcOxheDNv3jPnF0PXkqMwVoIqaXIWUyJUBVyqfUm/bDez&#10;FSXWMcVZC0qU9CQsvVi/f3fe60LMoYGWC0MQRNmi1yVtnNNFFNmqER2zZ6CFwoc1mI45PJp9xA3r&#10;Eb1ro3kcL6MeDNcGKmEtRm/Gh3Qd8OtaVO5zXVvhSFtS7M2F1YR159dofc6KvWG6kdXUBvuHLjom&#10;FRZ9hrphjpGDkX9AdbIyYKF2ZxV0EdS1rETggGyS+Dc2Dw3TInDB4Vj9PCb7/2CrT8d7QyQv6YIS&#10;xTqU6BEnemkcWfjh9NoWmPOgMcsNVzCgyIGo1XdQfbNEwXXD1F5cGgN9IxjH5hKEmsKBwvakETdE&#10;t2Jwt1yiDomHj17hj8Wsr7TrPwLHV9jBQag21KYjBvxrqzz2vxDG+RHsCIU9PYuJBUiFwWy+zBYZ&#10;sqrw2SrNsnkgFLHCg3mttLHug4CO+E1JDZoloLLjnXW+uZcUn47AGJ92o7g/8mSexlfzfLZZrrJZ&#10;ukkXszyLV7M4ya/yZZzm6c3mpwdN0qKRnAt1J5V4MlqS/p2Qk+VHiwSrkb6k+QIZ+XYstJJvZNuG&#10;g9nvrltDjsw7fhzVyOVNmoGD4hhnhdfsdto7JttxH73tOAwDB/D0HwYRxPN6jcq5YTcEJwVlvbA7&#10;4CdUs8frVVL7/cCMQGccumvA3tAOtYFucps/+268FNvhkRk9qeKw6n37dL2CND5vzye3Mv4VgboW&#10;by1SJovgjZHwlDzJOKKGEelL9NVGBo1f+pzciBctsJw+Cv4mvz6HrJdP1/oXAAAA//8DAFBLAwQU&#10;AAYACAAAACEArvYqitsAAAAGAQAADwAAAGRycy9kb3ducmV2LnhtbEyPQU/DMAyF70j8h8iTuLF0&#10;dEOoNJ0QFYcdtyHOXuO1ZYlTmnTt+PVkXOBiPetZ733O15M14ky9bx0rWMwTEMSV0y3XCt73b/dP&#10;IHxA1mgck4ILeVgXtzc5ZtqNvKXzLtQihrDPUEETQpdJ6auGLPq564ijd3S9xRDXvpa6xzGGWyMf&#10;kuRRWmw5NjTY0WtD1Wk3WAX6+3jp0nHcbzbbcvgybVnSx6dSd7Pp5RlEoCn8HcMVP6JDEZkObmDt&#10;hVEQHwm/8+otlssViENUaboCWeTyP37xAwAA//8DAFBLAQItABQABgAIAAAAIQC2gziS/gAAAOEB&#10;AAATAAAAAAAAAAAAAAAAAAAAAABbQ29udGVudF9UeXBlc10ueG1sUEsBAi0AFAAGAAgAAAAhADj9&#10;If/WAAAAlAEAAAsAAAAAAAAAAAAAAAAALwEAAF9yZWxzLy5yZWxzUEsBAi0AFAAGAAgAAAAhAIp4&#10;6cqHAgAAAgUAAA4AAAAAAAAAAAAAAAAALgIAAGRycy9lMm9Eb2MueG1sUEsBAi0AFAAGAAgAAAAh&#10;AK72KorbAAAABgEAAA8AAAAAAAAAAAAAAAAA4QQAAGRycy9kb3ducmV2LnhtbFBLBQYAAAAABAAE&#10;APMAAADpBQAAAAA=&#10;" o:allowincell="f" filled="f" stroked="f">
              <v:stroke joinstyle="round"/>
              <o:lock v:ext="edit" shapetype="t"/>
              <v:textbox style="mso-fit-shape-to-text:t">
                <w:txbxContent>
                  <w:p w:rsidR="00811023" w:rsidRDefault="00811023" w:rsidP="00216279">
                    <w:pPr>
                      <w:pStyle w:val="NormalWeb"/>
                      <w:spacing w:before="0" w:beforeAutospacing="0" w:after="0" w:afterAutospacing="0"/>
                      <w:jc w:val="center"/>
                    </w:pPr>
                    <w:r>
                      <w:rPr>
                        <w:rFonts w:ascii="Arial" w:hAnsi="Arial" w:cs="Arial"/>
                        <w:color w:val="C0C0C0"/>
                        <w:sz w:val="120"/>
                        <w:szCs w:val="120"/>
                        <w14:textFill>
                          <w14:solidFill>
                            <w14:srgbClr w14:val="C0C0C0">
                              <w14:alpha w14:val="50000"/>
                            </w14:srgbClr>
                          </w14:solidFill>
                        </w14:textFill>
                      </w:rPr>
                      <w:t>DRAFT - 9 April 2018</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023" w:rsidRDefault="00811023">
    <w:pPr>
      <w:pStyle w:val="Header"/>
    </w:pPr>
    <w:r>
      <w:rPr>
        <w:noProof/>
      </w:rPr>
      <mc:AlternateContent>
        <mc:Choice Requires="wps">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7267575" cy="847725"/>
              <wp:effectExtent l="0" t="2305050" r="0" b="228600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67575" cy="8477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11023" w:rsidRDefault="00811023" w:rsidP="00216279">
                          <w:pPr>
                            <w:pStyle w:val="NormalWeb"/>
                            <w:spacing w:before="0" w:beforeAutospacing="0" w:after="0" w:afterAutospacing="0"/>
                            <w:jc w:val="center"/>
                          </w:pPr>
                          <w:r>
                            <w:rPr>
                              <w:rFonts w:ascii="Arial" w:hAnsi="Arial" w:cs="Arial"/>
                              <w:color w:val="C0C0C0"/>
                              <w:sz w:val="120"/>
                              <w:szCs w:val="120"/>
                              <w14:textFill>
                                <w14:solidFill>
                                  <w14:srgbClr w14:val="C0C0C0">
                                    <w14:alpha w14:val="50000"/>
                                  </w14:srgbClr>
                                </w14:solidFill>
                              </w14:textFill>
                            </w:rPr>
                            <w:t>DRAFT - 9 April 2018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8" type="#_x0000_t202" style="position:absolute;margin-left:0;margin-top:0;width:572.25pt;height:66.7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tiAIAAAIFAAAOAAAAZHJzL2Uyb0RvYy54bWysVMlu2zAQvRfoPxC8O1ogW5ZgOcjmXtI2&#10;QFzkTIuUxVZcStKWjKL/3iElZ2kvRVEfaHI0evNm3qNWl4Po0JEZy5WscHIRY8RkrSiX+wp/2W5m&#10;S4ysI5KSTklW4ROz+HL9/t2q1yVLVas6ygwCEGnLXle4dU6XUWTrlgliL5RmEh42ygji4Gj2ETWk&#10;B3TRRWkcL6JeGaqNqpm1EL0dH+J1wG8aVrvPTWOZQ12FgZsLqwnrzq/RekXKvSG65fVEg/wDC0G4&#10;hKLPULfEEXQw/A8owWujrGrcRa1EpJqG1yz0AN0k8W/dPLZEs9ALDMfq5zHZ/wdbfzo+GMRphTOM&#10;JBEg0RNM9Mo4tPDD6bUtIedRQ5YbrtUAIodGrb5X9TeLpLppidyzK2NU3zJCgVwCUFM4tLA9acAN&#10;0S0b3B3loEPi4aNX+GMx6yvt+o+Kwivk4FSoNjRGIKP8a8si9r8QhvkhYATCnp7FhAKohmCeLvJ5&#10;PseohmfLLM/TeahISg/mtdLGug9MCeQ3FTZgloBKjvfWeXIvKT4dgCE+7UZxfxRJmsXXaTHbLJb5&#10;LNtk81mRx8tZnBTXxSLOiux289ODJlnZckqZvOeSnY2WZH8n5GT50SLBaqivcDGHjjwdqzpON7zr&#10;wsHsdzedQUfiHT+OauzlTZpRB0khTkqv2d20d4R34z56yzgMAwZw/g+DCOJ5vUbl3LAbgpPSs3F2&#10;ip5AzR6uV4Xt9wMxDJxxEDcKuIEdGqPE5DZ/9my8FNvhiRg9qeKg6kN3vl5BGp+3p5NbCf0KQKKD&#10;Wwsto3nwxtjwlDzJOKKGEekr8NWGB429AUeekxvhooUup4+Cv8mvzyHr5dO1/gUAAP//AwBQSwME&#10;FAAGAAgAAAAhAK72KorbAAAABgEAAA8AAABkcnMvZG93bnJldi54bWxMj0FPwzAMhe9I/IfIk7ix&#10;dHRDqDSdEBWHHbchzl7jtWWJU5p07fj1ZFzgYj3rWe99zteTNeJMvW8dK1jMExDEldMt1wre92/3&#10;TyB8QNZoHJOCC3lYF7c3OWbajbyl8y7UIoawz1BBE0KXSemrhiz6ueuIo3d0vcUQ176Wuscxhlsj&#10;H5LkUVpsOTY02NFrQ9VpN1gF+vt46dJx3G8223L4Mm1Z0senUnez6eUZRKAp/B3DFT+iQxGZDm5g&#10;7YVREB8Jv/PqLZbLFYhDVGm6Alnk8j9+8QMAAP//AwBQSwECLQAUAAYACAAAACEAtoM4kv4AAADh&#10;AQAAEwAAAAAAAAAAAAAAAAAAAAAAW0NvbnRlbnRfVHlwZXNdLnhtbFBLAQItABQABgAIAAAAIQA4&#10;/SH/1gAAAJQBAAALAAAAAAAAAAAAAAAAAC8BAABfcmVscy8ucmVsc1BLAQItABQABgAIAAAAIQDr&#10;+WJtiAIAAAIFAAAOAAAAAAAAAAAAAAAAAC4CAABkcnMvZTJvRG9jLnhtbFBLAQItABQABgAIAAAA&#10;IQCu9iqK2wAAAAYBAAAPAAAAAAAAAAAAAAAAAOIEAABkcnMvZG93bnJldi54bWxQSwUGAAAAAAQA&#10;BADzAAAA6gUAAAAA&#10;" o:allowincell="f" filled="f" stroked="f">
              <v:stroke joinstyle="round"/>
              <o:lock v:ext="edit" shapetype="t"/>
              <v:textbox style="mso-fit-shape-to-text:t">
                <w:txbxContent>
                  <w:p w:rsidR="00811023" w:rsidRDefault="00811023" w:rsidP="00216279">
                    <w:pPr>
                      <w:pStyle w:val="NormalWeb"/>
                      <w:spacing w:before="0" w:beforeAutospacing="0" w:after="0" w:afterAutospacing="0"/>
                      <w:jc w:val="center"/>
                    </w:pPr>
                    <w:r>
                      <w:rPr>
                        <w:rFonts w:ascii="Arial" w:hAnsi="Arial" w:cs="Arial"/>
                        <w:color w:val="C0C0C0"/>
                        <w:sz w:val="120"/>
                        <w:szCs w:val="120"/>
                        <w14:textFill>
                          <w14:solidFill>
                            <w14:srgbClr w14:val="C0C0C0">
                              <w14:alpha w14:val="50000"/>
                            </w14:srgbClr>
                          </w14:solidFill>
                        </w14:textFill>
                      </w:rPr>
                      <w:t>DRAFT - 9 April 2018</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023" w:rsidRPr="00C01ABA" w:rsidRDefault="00811023" w:rsidP="00934304">
    <w:pPr>
      <w:framePr w:w="851" w:h="1701" w:hRule="exact" w:wrap="around" w:vAnchor="page" w:hAnchor="margin" w:x="7939" w:y="12588" w:anchorLock="1"/>
      <w:shd w:val="pct95" w:color="auto" w:fill="auto"/>
      <w:jc w:val="center"/>
      <w:textDirection w:val="btLr"/>
      <w:rPr>
        <w:rFonts w:ascii="Arial" w:hAnsi="Arial" w:cs="Arial"/>
        <w:color w:val="FFFFFF" w:themeColor="background1"/>
        <w:spacing w:val="20"/>
        <w:sz w:val="8"/>
        <w:szCs w:val="8"/>
      </w:rPr>
    </w:pPr>
  </w:p>
  <w:p w:rsidR="00811023" w:rsidRPr="00C01ABA" w:rsidRDefault="00811023" w:rsidP="00934304">
    <w:pPr>
      <w:framePr w:w="851" w:h="1701" w:hRule="exact" w:wrap="around" w:vAnchor="page" w:hAnchor="margin" w:x="7939" w:y="12588" w:anchorLock="1"/>
      <w:shd w:val="pct95" w:color="auto" w:fill="auto"/>
      <w:jc w:val="center"/>
      <w:textDirection w:val="btLr"/>
      <w:rPr>
        <w:rFonts w:ascii="Arial" w:hAnsi="Arial" w:cs="Arial"/>
        <w:b/>
        <w:color w:val="FFFFFF" w:themeColor="background1"/>
        <w:spacing w:val="10"/>
        <w:sz w:val="24"/>
      </w:rPr>
    </w:pPr>
    <w:r w:rsidRPr="00C01ABA">
      <w:rPr>
        <w:rFonts w:ascii="Arial" w:hAnsi="Arial" w:cs="Arial"/>
        <w:b/>
        <w:color w:val="FFFFFF" w:themeColor="background1"/>
        <w:spacing w:val="10"/>
        <w:sz w:val="24"/>
      </w:rPr>
      <w:t>PSR</w:t>
    </w:r>
  </w:p>
  <w:p w:rsidR="00811023" w:rsidRDefault="008110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023" w:rsidRDefault="00811023" w:rsidP="00B93660">
    <w:pPr>
      <w:pStyle w:val="Header2-Left"/>
    </w:pPr>
    <w:r>
      <w:t>Budget Statements – PSR</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023" w:rsidRPr="005D4F1D" w:rsidRDefault="00811023" w:rsidP="004A5E57">
    <w:pPr>
      <w:framePr w:w="851" w:h="1701" w:hRule="exact" w:wrap="around" w:vAnchor="page" w:hAnchor="margin" w:x="7939" w:y="12588" w:anchorLock="1"/>
      <w:shd w:val="pct95" w:color="auto" w:fill="auto"/>
      <w:jc w:val="center"/>
      <w:textDirection w:val="btLr"/>
      <w:rPr>
        <w:rFonts w:ascii="Arial" w:hAnsi="Arial" w:cs="Arial"/>
        <w:color w:val="FFFFFF" w:themeColor="background1"/>
        <w:spacing w:val="20"/>
        <w:sz w:val="10"/>
        <w:szCs w:val="8"/>
      </w:rPr>
    </w:pPr>
  </w:p>
  <w:p w:rsidR="00811023" w:rsidRPr="005D4F1D" w:rsidRDefault="00811023" w:rsidP="004A5E57">
    <w:pPr>
      <w:framePr w:w="851" w:h="1701" w:hRule="exact" w:wrap="around" w:vAnchor="page" w:hAnchor="margin" w:x="7939" w:y="12588" w:anchorLock="1"/>
      <w:shd w:val="pct95" w:color="auto" w:fill="auto"/>
      <w:jc w:val="center"/>
      <w:textDirection w:val="btLr"/>
      <w:rPr>
        <w:rFonts w:ascii="Arial" w:hAnsi="Arial" w:cs="Arial"/>
        <w:b/>
        <w:color w:val="FFFFFF" w:themeColor="background1"/>
        <w:spacing w:val="10"/>
        <w:sz w:val="24"/>
      </w:rPr>
    </w:pPr>
    <w:r>
      <w:rPr>
        <w:rFonts w:ascii="Arial" w:hAnsi="Arial" w:cs="Arial"/>
        <w:b/>
        <w:color w:val="FFFFFF" w:themeColor="background1"/>
        <w:spacing w:val="10"/>
        <w:sz w:val="24"/>
      </w:rPr>
      <w:t>PSR</w:t>
    </w:r>
  </w:p>
  <w:p w:rsidR="00811023" w:rsidRDefault="00811023" w:rsidP="004009F2">
    <w:pPr>
      <w:pStyle w:val="Header1-Right"/>
    </w:pPr>
    <w:r>
      <w:t>PSR – Section 1 – Entity Overview and Resources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023" w:rsidRDefault="00811023">
    <w:pPr>
      <w:pStyle w:val="Header"/>
    </w:pPr>
    <w:r>
      <w:rPr>
        <w:noProof/>
      </w:rPr>
      <mc:AlternateContent>
        <mc:Choice Requires="wps">
          <w:drawing>
            <wp:anchor distT="0" distB="0" distL="114300" distR="114300" simplePos="0" relativeHeight="251686912" behindDoc="1" locked="0" layoutInCell="0" allowOverlap="1" wp14:anchorId="7B172385" wp14:editId="41BAAF8F">
              <wp:simplePos x="0" y="0"/>
              <wp:positionH relativeFrom="margin">
                <wp:align>center</wp:align>
              </wp:positionH>
              <wp:positionV relativeFrom="margin">
                <wp:align>center</wp:align>
              </wp:positionV>
              <wp:extent cx="7267575" cy="847725"/>
              <wp:effectExtent l="0" t="2305050" r="0" b="22860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67575" cy="8477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11023" w:rsidRDefault="00811023" w:rsidP="007763BB">
                          <w:pPr>
                            <w:pStyle w:val="NormalWeb"/>
                            <w:spacing w:before="0" w:beforeAutospacing="0" w:after="0" w:afterAutospacing="0"/>
                            <w:jc w:val="center"/>
                          </w:pPr>
                          <w:r>
                            <w:rPr>
                              <w:rFonts w:ascii="Arial" w:hAnsi="Arial" w:cs="Arial"/>
                              <w:color w:val="C0C0C0"/>
                              <w:sz w:val="120"/>
                              <w:szCs w:val="120"/>
                              <w14:textFill>
                                <w14:solidFill>
                                  <w14:srgbClr w14:val="C0C0C0">
                                    <w14:alpha w14:val="50000"/>
                                  </w14:srgbClr>
                                </w14:solidFill>
                              </w14:textFill>
                            </w:rPr>
                            <w:t>DRAFT - 9 April 2018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172385" id="_x0000_t202" coordsize="21600,21600" o:spt="202" path="m,l,21600r21600,l21600,xe">
              <v:stroke joinstyle="miter"/>
              <v:path gradientshapeok="t" o:connecttype="rect"/>
            </v:shapetype>
            <v:shape id="Text Box 7" o:spid="_x0000_s1029" type="#_x0000_t202" style="position:absolute;margin-left:0;margin-top:0;width:572.25pt;height:66.75pt;rotation:-45;z-index:-2516295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1kiwIAAAMFAAAOAAAAZHJzL2Uyb0RvYy54bWysVMtu2zAQvBfoPxC8O5Jc2bKEyIGdxL2k&#10;bYC4yJkWKYut+ChJWzKC/nuXlJxHeymK+kCTq9VwZ2dWl1e9aNGRGcuVLHFyEWPEZKUol/sSf91u&#10;JguMrCOSklZJVuITs/hq+f7dZacLNlWNaikzCECkLTpd4sY5XUSRrRomiL1Qmkl4WCsjiIOj2UfU&#10;kA7QRRtN43gedcpQbVTFrIXozfAQLwN+XbPKfalryxxqSwy1ubCasO78Gi0vSbE3RDe8Gssg/1CF&#10;IFzCpc9QN8QRdDD8DyjBK6Osqt1FpUSk6ppXLHAANkn8G5uHhmgWuEBzrH5uk/1/sNXn471BnJY4&#10;w0gSARJtWe/QWvUo893ptC0g6UFDmushDCoHplbfqeq7RVJdN0Tu2coY1TWMUKguAawxHDhsTxqA&#10;Q9Sj31IOQiQePnqFP1xm/U277pOi8Ao5OBVu62sjkFH+tUUe+18IQwMRVATKnp7V9OVXEMym82yW&#10;zTCq4NkizbLpLNxICg/mxdLGuo9MCeQ3JTbgloBKjnfW+eJeUnw6AEN83A3qPuXJNI3X03yymS+y&#10;SbpJZ5M8ixeTOMnX+TxO8/Rm89ODJmnRcEqZvOOSnZ2WpH+n5Oj5wSPBa6grcT4DRr4cq1pON7xt&#10;w8Hsd9etQUfiLT+0auDyJs2og6QQJ4XX7HbcO8LbYR+9rTg0Axpw/g+NCOJ5vQblXL/rg5U+nI2z&#10;U/QEanYwXyW2Pw7EMHDGQVwrqA3sUBslHmGAV8YLG7h4Kbb9IzF6VMXBrffteb6CNL7qPR3tSug3&#10;ABItjC1QRrPgjYHwmDzKOKCGFukV+GrDg8begEOdoxth0gLL8avgR/n1OWS9fLuWvwAAAP//AwBQ&#10;SwMEFAAGAAgAAAAhAK72KorbAAAABgEAAA8AAABkcnMvZG93bnJldi54bWxMj0FPwzAMhe9I/IfI&#10;k7ixdHRDqDSdEBWHHbchzl7jtWWJU5p07fj1ZFzgYj3rWe99zteTNeJMvW8dK1jMExDEldMt1wre&#10;92/3TyB8QNZoHJOCC3lYF7c3OWbajbyl8y7UIoawz1BBE0KXSemrhiz6ueuIo3d0vcUQ176Wuscx&#10;hlsjH5LkUVpsOTY02NFrQ9VpN1gF+vt46dJx3G8223L4Mm1Z0senUnez6eUZRKAp/B3DFT+iQxGZ&#10;Dm5g7YVREB8Jv/PqLZbLFYhDVGm6Alnk8j9+8QMAAP//AwBQSwECLQAUAAYACAAAACEAtoM4kv4A&#10;AADhAQAAEwAAAAAAAAAAAAAAAAAAAAAAW0NvbnRlbnRfVHlwZXNdLnhtbFBLAQItABQABgAIAAAA&#10;IQA4/SH/1gAAAJQBAAALAAAAAAAAAAAAAAAAAC8BAABfcmVscy8ucmVsc1BLAQItABQABgAIAAAA&#10;IQBgks1kiwIAAAMFAAAOAAAAAAAAAAAAAAAAAC4CAABkcnMvZTJvRG9jLnhtbFBLAQItABQABgAI&#10;AAAAIQCu9iqK2wAAAAYBAAAPAAAAAAAAAAAAAAAAAOUEAABkcnMvZG93bnJldi54bWxQSwUGAAAA&#10;AAQABADzAAAA7QUAAAAA&#10;" o:allowincell="f" filled="f" stroked="f">
              <v:stroke joinstyle="round"/>
              <o:lock v:ext="edit" shapetype="t"/>
              <v:textbox style="mso-fit-shape-to-text:t">
                <w:txbxContent>
                  <w:p w:rsidR="00811023" w:rsidRDefault="00811023" w:rsidP="007763BB">
                    <w:pPr>
                      <w:pStyle w:val="NormalWeb"/>
                      <w:spacing w:before="0" w:beforeAutospacing="0" w:after="0" w:afterAutospacing="0"/>
                      <w:jc w:val="center"/>
                    </w:pPr>
                    <w:r>
                      <w:rPr>
                        <w:rFonts w:ascii="Arial" w:hAnsi="Arial" w:cs="Arial"/>
                        <w:color w:val="C0C0C0"/>
                        <w:sz w:val="120"/>
                        <w:szCs w:val="120"/>
                        <w14:textFill>
                          <w14:solidFill>
                            <w14:srgbClr w14:val="C0C0C0">
                              <w14:alpha w14:val="50000"/>
                            </w14:srgbClr>
                          </w14:solidFill>
                        </w14:textFill>
                      </w:rPr>
                      <w:t>DRAFT - 9 April 2018</w:t>
                    </w:r>
                  </w:p>
                </w:txbxContent>
              </v:textbox>
              <w10:wrap anchorx="margin" anchory="margin"/>
            </v:shape>
          </w:pict>
        </mc:Fallback>
      </mc:AlternateContent>
    </w:r>
    <w:r>
      <w:rPr>
        <w:noProof/>
      </w:rPr>
      <mc:AlternateContent>
        <mc:Choice Requires="wps">
          <w:drawing>
            <wp:anchor distT="0" distB="0" distL="114300" distR="114300" simplePos="0" relativeHeight="251685888" behindDoc="1" locked="0" layoutInCell="0" allowOverlap="1" wp14:anchorId="31EDDFBC" wp14:editId="0DAD0086">
              <wp:simplePos x="0" y="0"/>
              <wp:positionH relativeFrom="margin">
                <wp:align>center</wp:align>
              </wp:positionH>
              <wp:positionV relativeFrom="margin">
                <wp:align>center</wp:align>
              </wp:positionV>
              <wp:extent cx="7477125" cy="847725"/>
              <wp:effectExtent l="0" t="2381250" r="0" b="23526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77125" cy="8477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11023" w:rsidRDefault="00811023" w:rsidP="007763BB">
                          <w:pPr>
                            <w:pStyle w:val="NormalWeb"/>
                            <w:spacing w:before="0" w:beforeAutospacing="0" w:after="0" w:afterAutospacing="0"/>
                            <w:jc w:val="center"/>
                          </w:pPr>
                          <w:r>
                            <w:rPr>
                              <w:rFonts w:ascii="Arial" w:hAnsi="Arial" w:cs="Arial"/>
                              <w:color w:val="C0C0C0"/>
                              <w:sz w:val="120"/>
                              <w:szCs w:val="120"/>
                              <w14:textFill>
                                <w14:solidFill>
                                  <w14:srgbClr w14:val="C0C0C0">
                                    <w14:alpha w14:val="50000"/>
                                  </w14:srgbClr>
                                </w14:solidFill>
                              </w14:textFill>
                            </w:rPr>
                            <w:t>DRAFT - 23 Mar 2018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EDDFBC" id="Text Box 8" o:spid="_x0000_s1030" type="#_x0000_t202" style="position:absolute;margin-left:0;margin-top:0;width:588.75pt;height:66.75pt;rotation:-45;z-index:-2516305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PgniQIAAAMFAAAOAAAAZHJzL2Uyb0RvYy54bWysVMtu2zAQvBfoPxC8O5IMObaEyIGdxL2k&#10;bYC4yJkWKYutxGVJ2pJR9N+7pOQ82ktR1AeaXK2GOzuzurru24YchbESVEGTi5gSoUrgUu0L+mW7&#10;mSwosY4pzhpQoqAnYen18v27q07nYgo1NFwYgiDK5p0uaO2czqPIlrVomb0ALRQ+rMC0zOHR7CNu&#10;WIfobRNN4/gy6sBwbaAU1mL0dnhIlwG/qkTpPleVFY40BcXaXFhNWHd+jZZXLN8bpmtZjmWwf6ii&#10;ZVLhpc9Qt8wxcjDyD6hWlgYsVO6ihDaCqpKlCByQTRL/xuaxZloELtgcq5/bZP8fbPnp+GCI5AVF&#10;oRRrUaKt6B1ZQ08WvjudtjkmPWpMcz2GUeXA1Op7KL9ZouCmZmovVsZAVwvGsboEscZw4LA9aQQO&#10;UY9+xyUKkXj46BX+cJn1N+26j8DxFXZwEG7rK9MSA/61RRb7XwhjAwlWhMqentX05ZcYnKfzeTKd&#10;UVLiswUecO9vZLkH82JpY90HAS3xm4IadEtAZcd764bUc4pPR2CMj7tB3R9ZMk3j9TSbbC4X80m6&#10;SWeTbB4vJnGSrbPLOM3S281PD5qkeS05F+peKnF2WpL+nZKj5wePBK+RrqDZDBn5ciw0km9k04SD&#10;2e9uGkOOzFt+aNXA5U2agYPiGGe51+xu3Dsmm2Efva049A0bcP4PjQjieb0G5Vy/64OV0rNxdsBP&#10;qGaH81VQ+/3AjEBnHNobwNrQDpWB9gkHeGW8sIGLb/i2f2JGj6o4vPWhOc9XkMZXveejXRn/ikBt&#10;g2OLlMkseGMgPCaj4i+ooUV6hb7ayKCxN+BQ5+hGnLTAcvwq+FF+fQ5ZL9+u5S8AAAD//wMAUEsD&#10;BBQABgAIAAAAIQDauINr2wAAAAYBAAAPAAAAZHJzL2Rvd25yZXYueG1sTI9BT8MwDIXvSPyHyEjc&#10;WDqqMVSaToiKw47bEGev8dpuiVOadO349WRc4GI961nvfc5XkzXiTL1vHSuYzxIQxJXTLdcKPnbv&#10;D88gfEDWaByTggt5WBW3Nzlm2o28ofM21CKGsM9QQRNCl0npq4Ys+pnriKN3cL3FENe+lrrHMYZb&#10;Ix+T5ElabDk2NNjRW0PVaTtYBfr7cOnScdyt15ty+DJtWdLnUan7u+n1BUSgKfwdwxU/okMRmfZu&#10;YO2FURAfCb/z6s2XywWIfVRpugBZ5PI/fvEDAAD//wMAUEsBAi0AFAAGAAgAAAAhALaDOJL+AAAA&#10;4QEAABMAAAAAAAAAAAAAAAAAAAAAAFtDb250ZW50X1R5cGVzXS54bWxQSwECLQAUAAYACAAAACEA&#10;OP0h/9YAAACUAQAACwAAAAAAAAAAAAAAAAAvAQAAX3JlbHMvLnJlbHNQSwECLQAUAAYACAAAACEA&#10;eJT4J4kCAAADBQAADgAAAAAAAAAAAAAAAAAuAgAAZHJzL2Uyb0RvYy54bWxQSwECLQAUAAYACAAA&#10;ACEA2riDa9sAAAAGAQAADwAAAAAAAAAAAAAAAADjBAAAZHJzL2Rvd25yZXYueG1sUEsFBgAAAAAE&#10;AAQA8wAAAOsFAAAAAA==&#10;" o:allowincell="f" filled="f" stroked="f">
              <v:stroke joinstyle="round"/>
              <o:lock v:ext="edit" shapetype="t"/>
              <v:textbox style="mso-fit-shape-to-text:t">
                <w:txbxContent>
                  <w:p w:rsidR="00811023" w:rsidRDefault="00811023" w:rsidP="007763BB">
                    <w:pPr>
                      <w:pStyle w:val="NormalWeb"/>
                      <w:spacing w:before="0" w:beforeAutospacing="0" w:after="0" w:afterAutospacing="0"/>
                      <w:jc w:val="center"/>
                    </w:pPr>
                    <w:r>
                      <w:rPr>
                        <w:rFonts w:ascii="Arial" w:hAnsi="Arial" w:cs="Arial"/>
                        <w:color w:val="C0C0C0"/>
                        <w:sz w:val="120"/>
                        <w:szCs w:val="120"/>
                        <w14:textFill>
                          <w14:solidFill>
                            <w14:srgbClr w14:val="C0C0C0">
                              <w14:alpha w14:val="50000"/>
                            </w14:srgbClr>
                          </w14:solidFill>
                        </w14:textFill>
                      </w:rPr>
                      <w:t>DRAFT - 23 Mar 2018</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023" w:rsidRDefault="00811023" w:rsidP="00B93660">
    <w:pPr>
      <w:pStyle w:val="Header2-Left"/>
    </w:pPr>
    <w:r>
      <w:t>Budget Statements – PSR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9C2B68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B4EC7D6"/>
    <w:lvl w:ilvl="0">
      <w:start w:val="1"/>
      <w:numFmt w:val="bullet"/>
      <w:lvlText w:val=""/>
      <w:lvlJc w:val="left"/>
      <w:pPr>
        <w:ind w:left="360" w:hanging="360"/>
      </w:pPr>
      <w:rPr>
        <w:rFonts w:ascii="Symbol" w:hAnsi="Symbol" w:hint="default"/>
        <w:color w:val="14708E"/>
      </w:rPr>
    </w:lvl>
  </w:abstractNum>
  <w:abstractNum w:abstractNumId="2" w15:restartNumberingAfterBreak="0">
    <w:nsid w:val="072E322F"/>
    <w:multiLevelType w:val="hybridMultilevel"/>
    <w:tmpl w:val="FF30691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F12EEC"/>
    <w:multiLevelType w:val="hybridMultilevel"/>
    <w:tmpl w:val="8F567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8F6301"/>
    <w:multiLevelType w:val="hybridMultilevel"/>
    <w:tmpl w:val="F3AE0BD0"/>
    <w:lvl w:ilvl="0" w:tplc="B8A89400">
      <w:start w:val="1"/>
      <w:numFmt w:val="bullet"/>
      <w:lvlText w:val=""/>
      <w:lvlJc w:val="left"/>
      <w:pPr>
        <w:ind w:left="1440" w:hanging="360"/>
      </w:pPr>
      <w:rPr>
        <w:rFonts w:ascii="Symbol" w:hAnsi="Symbol" w:hint="default"/>
        <w:color w:val="auto"/>
        <w:sz w:val="16"/>
      </w:rPr>
    </w:lvl>
    <w:lvl w:ilvl="1" w:tplc="62666E3A">
      <w:start w:val="1"/>
      <w:numFmt w:val="bullet"/>
      <w:lvlText w:val="-"/>
      <w:lvlJc w:val="left"/>
      <w:pPr>
        <w:ind w:left="2160" w:hanging="360"/>
      </w:pPr>
      <w:rPr>
        <w:rFonts w:ascii="Courier New" w:hAnsi="Courier New" w:hint="default"/>
        <w:color w:val="auto"/>
        <w:sz w:val="16"/>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02B755D"/>
    <w:multiLevelType w:val="hybridMultilevel"/>
    <w:tmpl w:val="895C1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3B22B8"/>
    <w:multiLevelType w:val="hybridMultilevel"/>
    <w:tmpl w:val="626E6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68B6DA8"/>
    <w:multiLevelType w:val="hybridMultilevel"/>
    <w:tmpl w:val="BA70C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941B07"/>
    <w:multiLevelType w:val="hybridMultilevel"/>
    <w:tmpl w:val="59C8D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1E2D18"/>
    <w:multiLevelType w:val="hybridMultilevel"/>
    <w:tmpl w:val="48F2EFFE"/>
    <w:lvl w:ilvl="0" w:tplc="C41010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239DF"/>
    <w:multiLevelType w:val="hybridMultilevel"/>
    <w:tmpl w:val="D4C2D4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3F209AE"/>
    <w:multiLevelType w:val="hybridMultilevel"/>
    <w:tmpl w:val="3BE06E60"/>
    <w:lvl w:ilvl="0" w:tplc="BFF46466">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BF7355"/>
    <w:multiLevelType w:val="hybridMultilevel"/>
    <w:tmpl w:val="946C8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20770A"/>
    <w:multiLevelType w:val="hybridMultilevel"/>
    <w:tmpl w:val="FB6AD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D96502"/>
    <w:multiLevelType w:val="multilevel"/>
    <w:tmpl w:val="96BC399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8B6631"/>
    <w:multiLevelType w:val="hybridMultilevel"/>
    <w:tmpl w:val="1022472A"/>
    <w:lvl w:ilvl="0" w:tplc="B8A89400">
      <w:start w:val="1"/>
      <w:numFmt w:val="bullet"/>
      <w:lvlText w:val=""/>
      <w:lvlJc w:val="left"/>
      <w:pPr>
        <w:ind w:left="1080" w:hanging="360"/>
      </w:pPr>
      <w:rPr>
        <w:rFonts w:ascii="Symbol" w:hAnsi="Symbol" w:hint="default"/>
        <w:color w:val="auto"/>
        <w:sz w:val="16"/>
      </w:rPr>
    </w:lvl>
    <w:lvl w:ilvl="1" w:tplc="B8A89400">
      <w:start w:val="1"/>
      <w:numFmt w:val="bullet"/>
      <w:lvlText w:val=""/>
      <w:lvlJc w:val="left"/>
      <w:pPr>
        <w:ind w:left="1800" w:hanging="360"/>
      </w:pPr>
      <w:rPr>
        <w:rFonts w:ascii="Symbol" w:hAnsi="Symbol" w:hint="default"/>
        <w:color w:val="auto"/>
        <w:sz w:val="16"/>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B677165"/>
    <w:multiLevelType w:val="hybridMultilevel"/>
    <w:tmpl w:val="1226A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D707EE"/>
    <w:multiLevelType w:val="hybridMultilevel"/>
    <w:tmpl w:val="4CB4EF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0C0C38"/>
    <w:multiLevelType w:val="hybridMultilevel"/>
    <w:tmpl w:val="CEA05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107481"/>
    <w:multiLevelType w:val="hybridMultilevel"/>
    <w:tmpl w:val="34C0F9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0F3A21"/>
    <w:multiLevelType w:val="hybridMultilevel"/>
    <w:tmpl w:val="7A8E2F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79124A3"/>
    <w:multiLevelType w:val="hybridMultilevel"/>
    <w:tmpl w:val="5BEE4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9D50961"/>
    <w:multiLevelType w:val="hybridMultilevel"/>
    <w:tmpl w:val="EC0056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C7A0C08"/>
    <w:multiLevelType w:val="hybridMultilevel"/>
    <w:tmpl w:val="987C69DE"/>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25" w15:restartNumberingAfterBreak="0">
    <w:nsid w:val="6320056F"/>
    <w:multiLevelType w:val="hybridMultilevel"/>
    <w:tmpl w:val="2EBE8404"/>
    <w:lvl w:ilvl="0" w:tplc="44B085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A520DC"/>
    <w:multiLevelType w:val="hybridMultilevel"/>
    <w:tmpl w:val="BD3C3A42"/>
    <w:lvl w:ilvl="0" w:tplc="C5B40936">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F18379B"/>
    <w:multiLevelType w:val="hybridMultilevel"/>
    <w:tmpl w:val="8A927A30"/>
    <w:lvl w:ilvl="0" w:tplc="061842D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AA7355B"/>
    <w:multiLevelType w:val="hybridMultilevel"/>
    <w:tmpl w:val="58042322"/>
    <w:lvl w:ilvl="0" w:tplc="62666E3A">
      <w:start w:val="1"/>
      <w:numFmt w:val="bullet"/>
      <w:lvlText w:val="-"/>
      <w:lvlJc w:val="left"/>
      <w:pPr>
        <w:ind w:left="1440" w:hanging="360"/>
      </w:pPr>
      <w:rPr>
        <w:rFonts w:ascii="Courier New" w:hAnsi="Courier New" w:hint="default"/>
        <w:color w:val="auto"/>
        <w:sz w:val="16"/>
      </w:rPr>
    </w:lvl>
    <w:lvl w:ilvl="1" w:tplc="62666E3A">
      <w:start w:val="1"/>
      <w:numFmt w:val="bullet"/>
      <w:lvlText w:val="-"/>
      <w:lvlJc w:val="left"/>
      <w:pPr>
        <w:ind w:left="2160" w:hanging="360"/>
      </w:pPr>
      <w:rPr>
        <w:rFonts w:ascii="Courier New" w:hAnsi="Courier New" w:hint="default"/>
        <w:color w:val="auto"/>
        <w:sz w:val="16"/>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B442575"/>
    <w:multiLevelType w:val="hybridMultilevel"/>
    <w:tmpl w:val="4370944A"/>
    <w:lvl w:ilvl="0" w:tplc="9A0A13F4">
      <w:start w:val="1"/>
      <w:numFmt w:val="bullet"/>
      <w:pStyle w:val="LinkedProgramm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2528C5"/>
    <w:multiLevelType w:val="hybridMultilevel"/>
    <w:tmpl w:val="7A9C1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8"/>
  </w:num>
  <w:num w:numId="4">
    <w:abstractNumId w:val="12"/>
  </w:num>
  <w:num w:numId="5">
    <w:abstractNumId w:val="7"/>
  </w:num>
  <w:num w:numId="6">
    <w:abstractNumId w:val="7"/>
  </w:num>
  <w:num w:numId="7">
    <w:abstractNumId w:val="21"/>
  </w:num>
  <w:num w:numId="8">
    <w:abstractNumId w:val="4"/>
  </w:num>
  <w:num w:numId="9">
    <w:abstractNumId w:val="28"/>
  </w:num>
  <w:num w:numId="10">
    <w:abstractNumId w:val="3"/>
  </w:num>
  <w:num w:numId="11">
    <w:abstractNumId w:val="7"/>
  </w:num>
  <w:num w:numId="12">
    <w:abstractNumId w:val="1"/>
  </w:num>
  <w:num w:numId="13">
    <w:abstractNumId w:val="11"/>
  </w:num>
  <w:num w:numId="14">
    <w:abstractNumId w:val="6"/>
  </w:num>
  <w:num w:numId="15">
    <w:abstractNumId w:val="14"/>
  </w:num>
  <w:num w:numId="16">
    <w:abstractNumId w:val="2"/>
  </w:num>
  <w:num w:numId="17">
    <w:abstractNumId w:val="30"/>
  </w:num>
  <w:num w:numId="18">
    <w:abstractNumId w:val="17"/>
  </w:num>
  <w:num w:numId="19">
    <w:abstractNumId w:val="25"/>
  </w:num>
  <w:num w:numId="20">
    <w:abstractNumId w:val="13"/>
  </w:num>
  <w:num w:numId="21">
    <w:abstractNumId w:val="10"/>
  </w:num>
  <w:num w:numId="22">
    <w:abstractNumId w:val="29"/>
  </w:num>
  <w:num w:numId="23">
    <w:abstractNumId w:val="24"/>
  </w:num>
  <w:num w:numId="24">
    <w:abstractNumId w:val="22"/>
  </w:num>
  <w:num w:numId="25">
    <w:abstractNumId w:val="26"/>
  </w:num>
  <w:num w:numId="26">
    <w:abstractNumId w:val="27"/>
  </w:num>
  <w:num w:numId="27">
    <w:abstractNumId w:val="9"/>
  </w:num>
  <w:num w:numId="28">
    <w:abstractNumId w:val="0"/>
  </w:num>
  <w:num w:numId="29">
    <w:abstractNumId w:val="5"/>
  </w:num>
  <w:num w:numId="30">
    <w:abstractNumId w:val="15"/>
  </w:num>
  <w:num w:numId="31">
    <w:abstractNumId w:val="18"/>
  </w:num>
  <w:num w:numId="32">
    <w:abstractNumId w:val="2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ocumentProtection w:edit="trackedChanges" w:enforcement="0"/>
  <w:defaultTabStop w:val="720"/>
  <w:evenAndOddHeaders/>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02"/>
    <w:rsid w:val="0000039E"/>
    <w:rsid w:val="00001B32"/>
    <w:rsid w:val="000032ED"/>
    <w:rsid w:val="00010DB7"/>
    <w:rsid w:val="000111E0"/>
    <w:rsid w:val="00013518"/>
    <w:rsid w:val="000147C0"/>
    <w:rsid w:val="000167D5"/>
    <w:rsid w:val="00020BE9"/>
    <w:rsid w:val="00021D82"/>
    <w:rsid w:val="0002392E"/>
    <w:rsid w:val="00024B6D"/>
    <w:rsid w:val="00024CBD"/>
    <w:rsid w:val="00031EBE"/>
    <w:rsid w:val="00032336"/>
    <w:rsid w:val="00033B6A"/>
    <w:rsid w:val="0003718B"/>
    <w:rsid w:val="0004496D"/>
    <w:rsid w:val="00044B2A"/>
    <w:rsid w:val="00044E5F"/>
    <w:rsid w:val="00045049"/>
    <w:rsid w:val="00050DB3"/>
    <w:rsid w:val="000524FA"/>
    <w:rsid w:val="000538C2"/>
    <w:rsid w:val="0005526E"/>
    <w:rsid w:val="00057C78"/>
    <w:rsid w:val="00057E08"/>
    <w:rsid w:val="0006400B"/>
    <w:rsid w:val="000643F1"/>
    <w:rsid w:val="0006468F"/>
    <w:rsid w:val="00066F0C"/>
    <w:rsid w:val="00067276"/>
    <w:rsid w:val="00067B4E"/>
    <w:rsid w:val="000729F0"/>
    <w:rsid w:val="000739F0"/>
    <w:rsid w:val="00074593"/>
    <w:rsid w:val="00077061"/>
    <w:rsid w:val="00080F6B"/>
    <w:rsid w:val="00081D85"/>
    <w:rsid w:val="00084384"/>
    <w:rsid w:val="000872F7"/>
    <w:rsid w:val="000965A2"/>
    <w:rsid w:val="000A1D1C"/>
    <w:rsid w:val="000A2019"/>
    <w:rsid w:val="000A492D"/>
    <w:rsid w:val="000A4B42"/>
    <w:rsid w:val="000A4C1C"/>
    <w:rsid w:val="000A518F"/>
    <w:rsid w:val="000B1776"/>
    <w:rsid w:val="000B3214"/>
    <w:rsid w:val="000C1C81"/>
    <w:rsid w:val="000C29A2"/>
    <w:rsid w:val="000C327B"/>
    <w:rsid w:val="000C51A6"/>
    <w:rsid w:val="000C60D0"/>
    <w:rsid w:val="000C6143"/>
    <w:rsid w:val="000D0292"/>
    <w:rsid w:val="000D1131"/>
    <w:rsid w:val="000E1070"/>
    <w:rsid w:val="000E33CF"/>
    <w:rsid w:val="000E3E8B"/>
    <w:rsid w:val="000E4604"/>
    <w:rsid w:val="000E71E2"/>
    <w:rsid w:val="000F6F21"/>
    <w:rsid w:val="001005E2"/>
    <w:rsid w:val="00103CF1"/>
    <w:rsid w:val="00103F0C"/>
    <w:rsid w:val="00105D91"/>
    <w:rsid w:val="001070A2"/>
    <w:rsid w:val="00110051"/>
    <w:rsid w:val="00111439"/>
    <w:rsid w:val="00112598"/>
    <w:rsid w:val="0011675D"/>
    <w:rsid w:val="00116E8C"/>
    <w:rsid w:val="001228FF"/>
    <w:rsid w:val="00122AFB"/>
    <w:rsid w:val="00126E1E"/>
    <w:rsid w:val="0013511E"/>
    <w:rsid w:val="00136684"/>
    <w:rsid w:val="00136A77"/>
    <w:rsid w:val="001401E0"/>
    <w:rsid w:val="0014214E"/>
    <w:rsid w:val="001421C6"/>
    <w:rsid w:val="00147C22"/>
    <w:rsid w:val="001519D5"/>
    <w:rsid w:val="00151CEC"/>
    <w:rsid w:val="00153F2F"/>
    <w:rsid w:val="0015625A"/>
    <w:rsid w:val="00160A00"/>
    <w:rsid w:val="001729F3"/>
    <w:rsid w:val="00173FB7"/>
    <w:rsid w:val="00175D4A"/>
    <w:rsid w:val="00176754"/>
    <w:rsid w:val="001816F5"/>
    <w:rsid w:val="00182A0E"/>
    <w:rsid w:val="00184F45"/>
    <w:rsid w:val="001908B4"/>
    <w:rsid w:val="00191282"/>
    <w:rsid w:val="00191B9F"/>
    <w:rsid w:val="001934F3"/>
    <w:rsid w:val="00196D2A"/>
    <w:rsid w:val="001A0809"/>
    <w:rsid w:val="001A1083"/>
    <w:rsid w:val="001A18D5"/>
    <w:rsid w:val="001A3782"/>
    <w:rsid w:val="001A64EB"/>
    <w:rsid w:val="001B17A0"/>
    <w:rsid w:val="001B1DD9"/>
    <w:rsid w:val="001B21A1"/>
    <w:rsid w:val="001B2CD1"/>
    <w:rsid w:val="001B3443"/>
    <w:rsid w:val="001B7D8F"/>
    <w:rsid w:val="001C1E65"/>
    <w:rsid w:val="001C4CA7"/>
    <w:rsid w:val="001C537A"/>
    <w:rsid w:val="001C675B"/>
    <w:rsid w:val="001C7B4B"/>
    <w:rsid w:val="001E0027"/>
    <w:rsid w:val="001E139B"/>
    <w:rsid w:val="001E1590"/>
    <w:rsid w:val="001E2617"/>
    <w:rsid w:val="001E2AD6"/>
    <w:rsid w:val="001E2ED9"/>
    <w:rsid w:val="001E4222"/>
    <w:rsid w:val="001F5697"/>
    <w:rsid w:val="001F7532"/>
    <w:rsid w:val="00200B94"/>
    <w:rsid w:val="00203F38"/>
    <w:rsid w:val="00210870"/>
    <w:rsid w:val="00215BA6"/>
    <w:rsid w:val="00216279"/>
    <w:rsid w:val="002259CA"/>
    <w:rsid w:val="00225CCB"/>
    <w:rsid w:val="002308D2"/>
    <w:rsid w:val="0023186F"/>
    <w:rsid w:val="002320D2"/>
    <w:rsid w:val="0023360D"/>
    <w:rsid w:val="00234523"/>
    <w:rsid w:val="00236E8B"/>
    <w:rsid w:val="002377FC"/>
    <w:rsid w:val="00237F36"/>
    <w:rsid w:val="00240AF5"/>
    <w:rsid w:val="002419A6"/>
    <w:rsid w:val="002456C3"/>
    <w:rsid w:val="002474D0"/>
    <w:rsid w:val="00252816"/>
    <w:rsid w:val="00253D99"/>
    <w:rsid w:val="0025470E"/>
    <w:rsid w:val="002550C1"/>
    <w:rsid w:val="00256B4B"/>
    <w:rsid w:val="00257F0E"/>
    <w:rsid w:val="00263563"/>
    <w:rsid w:val="002671EC"/>
    <w:rsid w:val="0027276B"/>
    <w:rsid w:val="0027512B"/>
    <w:rsid w:val="0027523C"/>
    <w:rsid w:val="00277D4D"/>
    <w:rsid w:val="00280361"/>
    <w:rsid w:val="00280F29"/>
    <w:rsid w:val="0028437C"/>
    <w:rsid w:val="00284BA9"/>
    <w:rsid w:val="00285271"/>
    <w:rsid w:val="00295BEE"/>
    <w:rsid w:val="00296625"/>
    <w:rsid w:val="0029746D"/>
    <w:rsid w:val="002A1A73"/>
    <w:rsid w:val="002A4073"/>
    <w:rsid w:val="002A4D5E"/>
    <w:rsid w:val="002A56BB"/>
    <w:rsid w:val="002A6032"/>
    <w:rsid w:val="002A72A8"/>
    <w:rsid w:val="002B080B"/>
    <w:rsid w:val="002B3E92"/>
    <w:rsid w:val="002B70A0"/>
    <w:rsid w:val="002B760F"/>
    <w:rsid w:val="002C18B0"/>
    <w:rsid w:val="002C3EB0"/>
    <w:rsid w:val="002C7537"/>
    <w:rsid w:val="002D0C83"/>
    <w:rsid w:val="002D2DF3"/>
    <w:rsid w:val="002D3495"/>
    <w:rsid w:val="002D4486"/>
    <w:rsid w:val="002D4BCF"/>
    <w:rsid w:val="002D5216"/>
    <w:rsid w:val="002D6515"/>
    <w:rsid w:val="002D6A42"/>
    <w:rsid w:val="002E02FE"/>
    <w:rsid w:val="002E1464"/>
    <w:rsid w:val="002E2007"/>
    <w:rsid w:val="002E6D27"/>
    <w:rsid w:val="002E7808"/>
    <w:rsid w:val="002E7B43"/>
    <w:rsid w:val="002F4AE9"/>
    <w:rsid w:val="002F4F6E"/>
    <w:rsid w:val="00301360"/>
    <w:rsid w:val="00302416"/>
    <w:rsid w:val="00302BAA"/>
    <w:rsid w:val="00306B8A"/>
    <w:rsid w:val="0030786C"/>
    <w:rsid w:val="00312B4D"/>
    <w:rsid w:val="00320990"/>
    <w:rsid w:val="00323E1C"/>
    <w:rsid w:val="0032750B"/>
    <w:rsid w:val="00330254"/>
    <w:rsid w:val="00332FA0"/>
    <w:rsid w:val="00333AE7"/>
    <w:rsid w:val="00340991"/>
    <w:rsid w:val="00340D73"/>
    <w:rsid w:val="00343B2F"/>
    <w:rsid w:val="0034688D"/>
    <w:rsid w:val="003469A3"/>
    <w:rsid w:val="00350C17"/>
    <w:rsid w:val="003539A7"/>
    <w:rsid w:val="0035620F"/>
    <w:rsid w:val="003642F6"/>
    <w:rsid w:val="00365B2E"/>
    <w:rsid w:val="0036732F"/>
    <w:rsid w:val="00371DD2"/>
    <w:rsid w:val="00372075"/>
    <w:rsid w:val="003751EC"/>
    <w:rsid w:val="00376D6C"/>
    <w:rsid w:val="00377990"/>
    <w:rsid w:val="00384243"/>
    <w:rsid w:val="003906CE"/>
    <w:rsid w:val="00390CBA"/>
    <w:rsid w:val="00394E87"/>
    <w:rsid w:val="00396785"/>
    <w:rsid w:val="003972F0"/>
    <w:rsid w:val="003A2E05"/>
    <w:rsid w:val="003A6109"/>
    <w:rsid w:val="003A7495"/>
    <w:rsid w:val="003B1F44"/>
    <w:rsid w:val="003B5993"/>
    <w:rsid w:val="003B7216"/>
    <w:rsid w:val="003C191E"/>
    <w:rsid w:val="003C3DD3"/>
    <w:rsid w:val="003C4B20"/>
    <w:rsid w:val="003C561B"/>
    <w:rsid w:val="003D28F3"/>
    <w:rsid w:val="003D3C2C"/>
    <w:rsid w:val="003D72F3"/>
    <w:rsid w:val="003E00E2"/>
    <w:rsid w:val="003E2F4E"/>
    <w:rsid w:val="003E7B81"/>
    <w:rsid w:val="003F0271"/>
    <w:rsid w:val="003F07A9"/>
    <w:rsid w:val="003F32B8"/>
    <w:rsid w:val="003F60E5"/>
    <w:rsid w:val="003F75A0"/>
    <w:rsid w:val="003F7A75"/>
    <w:rsid w:val="004009F2"/>
    <w:rsid w:val="0040379A"/>
    <w:rsid w:val="00410127"/>
    <w:rsid w:val="00410298"/>
    <w:rsid w:val="004106FE"/>
    <w:rsid w:val="0041182C"/>
    <w:rsid w:val="00412063"/>
    <w:rsid w:val="00416CDA"/>
    <w:rsid w:val="00420613"/>
    <w:rsid w:val="00421E0F"/>
    <w:rsid w:val="004256F7"/>
    <w:rsid w:val="00426C7B"/>
    <w:rsid w:val="00432334"/>
    <w:rsid w:val="00433D67"/>
    <w:rsid w:val="00435594"/>
    <w:rsid w:val="004368A0"/>
    <w:rsid w:val="00436B11"/>
    <w:rsid w:val="0044257F"/>
    <w:rsid w:val="0044282A"/>
    <w:rsid w:val="00443064"/>
    <w:rsid w:val="00445432"/>
    <w:rsid w:val="00447AAD"/>
    <w:rsid w:val="0045221E"/>
    <w:rsid w:val="00452884"/>
    <w:rsid w:val="00454E59"/>
    <w:rsid w:val="00455176"/>
    <w:rsid w:val="00456383"/>
    <w:rsid w:val="004638D7"/>
    <w:rsid w:val="00465C16"/>
    <w:rsid w:val="00471376"/>
    <w:rsid w:val="0047335A"/>
    <w:rsid w:val="004743BE"/>
    <w:rsid w:val="00474C0D"/>
    <w:rsid w:val="004762D9"/>
    <w:rsid w:val="0048164D"/>
    <w:rsid w:val="004867E2"/>
    <w:rsid w:val="004902A8"/>
    <w:rsid w:val="00490562"/>
    <w:rsid w:val="004912EC"/>
    <w:rsid w:val="0049183D"/>
    <w:rsid w:val="00491A9C"/>
    <w:rsid w:val="00493CC2"/>
    <w:rsid w:val="00496FF0"/>
    <w:rsid w:val="004A0624"/>
    <w:rsid w:val="004A2D67"/>
    <w:rsid w:val="004A57D7"/>
    <w:rsid w:val="004A5E57"/>
    <w:rsid w:val="004B258A"/>
    <w:rsid w:val="004B2A6B"/>
    <w:rsid w:val="004B3C52"/>
    <w:rsid w:val="004B4509"/>
    <w:rsid w:val="004B480F"/>
    <w:rsid w:val="004C5DAA"/>
    <w:rsid w:val="004C74E1"/>
    <w:rsid w:val="004C78F4"/>
    <w:rsid w:val="004D077B"/>
    <w:rsid w:val="004D237F"/>
    <w:rsid w:val="004D3900"/>
    <w:rsid w:val="004D5239"/>
    <w:rsid w:val="004D547D"/>
    <w:rsid w:val="004D5CA0"/>
    <w:rsid w:val="004E3E65"/>
    <w:rsid w:val="004E6808"/>
    <w:rsid w:val="004E68EB"/>
    <w:rsid w:val="004F0FFE"/>
    <w:rsid w:val="004F207B"/>
    <w:rsid w:val="004F2D90"/>
    <w:rsid w:val="004F36D0"/>
    <w:rsid w:val="004F5788"/>
    <w:rsid w:val="005036B4"/>
    <w:rsid w:val="0050565C"/>
    <w:rsid w:val="00505799"/>
    <w:rsid w:val="00505A54"/>
    <w:rsid w:val="005141E9"/>
    <w:rsid w:val="00522395"/>
    <w:rsid w:val="0052272D"/>
    <w:rsid w:val="0052562E"/>
    <w:rsid w:val="0052669F"/>
    <w:rsid w:val="005276AF"/>
    <w:rsid w:val="00535408"/>
    <w:rsid w:val="00542F53"/>
    <w:rsid w:val="00544459"/>
    <w:rsid w:val="00552BB6"/>
    <w:rsid w:val="00565D29"/>
    <w:rsid w:val="00570DC1"/>
    <w:rsid w:val="00570F3A"/>
    <w:rsid w:val="00571526"/>
    <w:rsid w:val="00571BAD"/>
    <w:rsid w:val="00573E11"/>
    <w:rsid w:val="005803AB"/>
    <w:rsid w:val="0058131B"/>
    <w:rsid w:val="005842F2"/>
    <w:rsid w:val="005848AC"/>
    <w:rsid w:val="00585489"/>
    <w:rsid w:val="00587B3B"/>
    <w:rsid w:val="00592F80"/>
    <w:rsid w:val="005942FD"/>
    <w:rsid w:val="00597B6D"/>
    <w:rsid w:val="005A0E66"/>
    <w:rsid w:val="005A2257"/>
    <w:rsid w:val="005A2902"/>
    <w:rsid w:val="005A4D55"/>
    <w:rsid w:val="005B6B2D"/>
    <w:rsid w:val="005B7B51"/>
    <w:rsid w:val="005C272A"/>
    <w:rsid w:val="005D1B90"/>
    <w:rsid w:val="005D1FB6"/>
    <w:rsid w:val="005D445F"/>
    <w:rsid w:val="005D4CEB"/>
    <w:rsid w:val="005D5B5E"/>
    <w:rsid w:val="005E0F99"/>
    <w:rsid w:val="005E1437"/>
    <w:rsid w:val="005E3FE4"/>
    <w:rsid w:val="005E45B1"/>
    <w:rsid w:val="005F5681"/>
    <w:rsid w:val="006008A6"/>
    <w:rsid w:val="00603307"/>
    <w:rsid w:val="006043F8"/>
    <w:rsid w:val="00604765"/>
    <w:rsid w:val="00611A02"/>
    <w:rsid w:val="00617B80"/>
    <w:rsid w:val="006211D3"/>
    <w:rsid w:val="0062294E"/>
    <w:rsid w:val="0062392E"/>
    <w:rsid w:val="006249A5"/>
    <w:rsid w:val="006318A3"/>
    <w:rsid w:val="0063569F"/>
    <w:rsid w:val="0063690A"/>
    <w:rsid w:val="006400B1"/>
    <w:rsid w:val="006416AA"/>
    <w:rsid w:val="00642337"/>
    <w:rsid w:val="00645E2C"/>
    <w:rsid w:val="00645FA0"/>
    <w:rsid w:val="0064642D"/>
    <w:rsid w:val="00646EDD"/>
    <w:rsid w:val="00653FF6"/>
    <w:rsid w:val="00654860"/>
    <w:rsid w:val="00661A1E"/>
    <w:rsid w:val="0066212B"/>
    <w:rsid w:val="006632BC"/>
    <w:rsid w:val="006646C2"/>
    <w:rsid w:val="006659AB"/>
    <w:rsid w:val="00670123"/>
    <w:rsid w:val="00671A24"/>
    <w:rsid w:val="00674171"/>
    <w:rsid w:val="00674997"/>
    <w:rsid w:val="00675224"/>
    <w:rsid w:val="00680145"/>
    <w:rsid w:val="006811AC"/>
    <w:rsid w:val="006829CC"/>
    <w:rsid w:val="00683E6A"/>
    <w:rsid w:val="0068436A"/>
    <w:rsid w:val="0069245E"/>
    <w:rsid w:val="00692CD4"/>
    <w:rsid w:val="006933ED"/>
    <w:rsid w:val="006A0B9F"/>
    <w:rsid w:val="006A22E0"/>
    <w:rsid w:val="006A2B1F"/>
    <w:rsid w:val="006A4325"/>
    <w:rsid w:val="006A7034"/>
    <w:rsid w:val="006B2BB8"/>
    <w:rsid w:val="006B49B3"/>
    <w:rsid w:val="006B5386"/>
    <w:rsid w:val="006B71C7"/>
    <w:rsid w:val="006C66A9"/>
    <w:rsid w:val="006C702D"/>
    <w:rsid w:val="006D0B84"/>
    <w:rsid w:val="006D218E"/>
    <w:rsid w:val="006D44DB"/>
    <w:rsid w:val="006D4554"/>
    <w:rsid w:val="006E01A7"/>
    <w:rsid w:val="006F244A"/>
    <w:rsid w:val="006F397A"/>
    <w:rsid w:val="006F497B"/>
    <w:rsid w:val="006F6123"/>
    <w:rsid w:val="006F675F"/>
    <w:rsid w:val="00701636"/>
    <w:rsid w:val="00701A73"/>
    <w:rsid w:val="00703996"/>
    <w:rsid w:val="00706C9F"/>
    <w:rsid w:val="0071141B"/>
    <w:rsid w:val="00713947"/>
    <w:rsid w:val="00714CC5"/>
    <w:rsid w:val="00715F1D"/>
    <w:rsid w:val="0071632D"/>
    <w:rsid w:val="00717958"/>
    <w:rsid w:val="0072155C"/>
    <w:rsid w:val="00722067"/>
    <w:rsid w:val="00725A90"/>
    <w:rsid w:val="00726EFF"/>
    <w:rsid w:val="00727FBF"/>
    <w:rsid w:val="00735BF8"/>
    <w:rsid w:val="0073691E"/>
    <w:rsid w:val="00741E85"/>
    <w:rsid w:val="00742D30"/>
    <w:rsid w:val="00743631"/>
    <w:rsid w:val="00744B89"/>
    <w:rsid w:val="007459F6"/>
    <w:rsid w:val="00750057"/>
    <w:rsid w:val="007507CC"/>
    <w:rsid w:val="00752AB8"/>
    <w:rsid w:val="00755436"/>
    <w:rsid w:val="0075615D"/>
    <w:rsid w:val="007564B6"/>
    <w:rsid w:val="00763F2E"/>
    <w:rsid w:val="007644E2"/>
    <w:rsid w:val="00770738"/>
    <w:rsid w:val="00770881"/>
    <w:rsid w:val="007763BB"/>
    <w:rsid w:val="00776D0D"/>
    <w:rsid w:val="007802F0"/>
    <w:rsid w:val="0078222E"/>
    <w:rsid w:val="00784771"/>
    <w:rsid w:val="00785A80"/>
    <w:rsid w:val="0078639F"/>
    <w:rsid w:val="00787924"/>
    <w:rsid w:val="00787D2D"/>
    <w:rsid w:val="00791100"/>
    <w:rsid w:val="007934E2"/>
    <w:rsid w:val="007A13A1"/>
    <w:rsid w:val="007A4466"/>
    <w:rsid w:val="007A5396"/>
    <w:rsid w:val="007B5809"/>
    <w:rsid w:val="007B64A8"/>
    <w:rsid w:val="007B7841"/>
    <w:rsid w:val="007B7C76"/>
    <w:rsid w:val="007C32DE"/>
    <w:rsid w:val="007C405E"/>
    <w:rsid w:val="007C5C30"/>
    <w:rsid w:val="007D01A1"/>
    <w:rsid w:val="007D0EC4"/>
    <w:rsid w:val="007D169E"/>
    <w:rsid w:val="007D275B"/>
    <w:rsid w:val="007D4233"/>
    <w:rsid w:val="007D5142"/>
    <w:rsid w:val="007D569F"/>
    <w:rsid w:val="007E5811"/>
    <w:rsid w:val="007F3E1F"/>
    <w:rsid w:val="007F6D1A"/>
    <w:rsid w:val="00801C00"/>
    <w:rsid w:val="00801DD0"/>
    <w:rsid w:val="00802CAB"/>
    <w:rsid w:val="00804444"/>
    <w:rsid w:val="00805837"/>
    <w:rsid w:val="008062D3"/>
    <w:rsid w:val="00806486"/>
    <w:rsid w:val="00810DED"/>
    <w:rsid w:val="00811023"/>
    <w:rsid w:val="00812A2E"/>
    <w:rsid w:val="00812AC9"/>
    <w:rsid w:val="00812F6E"/>
    <w:rsid w:val="008171BE"/>
    <w:rsid w:val="00823A15"/>
    <w:rsid w:val="008261A0"/>
    <w:rsid w:val="008264EB"/>
    <w:rsid w:val="00827309"/>
    <w:rsid w:val="008300E0"/>
    <w:rsid w:val="00831FF6"/>
    <w:rsid w:val="008363AC"/>
    <w:rsid w:val="00837039"/>
    <w:rsid w:val="008426CA"/>
    <w:rsid w:val="00842751"/>
    <w:rsid w:val="00845E2D"/>
    <w:rsid w:val="00845FA9"/>
    <w:rsid w:val="00851790"/>
    <w:rsid w:val="008521B1"/>
    <w:rsid w:val="00852424"/>
    <w:rsid w:val="0085419E"/>
    <w:rsid w:val="00856024"/>
    <w:rsid w:val="008568AF"/>
    <w:rsid w:val="00857D57"/>
    <w:rsid w:val="00861515"/>
    <w:rsid w:val="0086229B"/>
    <w:rsid w:val="00865750"/>
    <w:rsid w:val="00866262"/>
    <w:rsid w:val="00866F7A"/>
    <w:rsid w:val="00867B86"/>
    <w:rsid w:val="0087116A"/>
    <w:rsid w:val="00876445"/>
    <w:rsid w:val="00877ACF"/>
    <w:rsid w:val="00882AC8"/>
    <w:rsid w:val="00883AA8"/>
    <w:rsid w:val="0088477B"/>
    <w:rsid w:val="008866CF"/>
    <w:rsid w:val="00886BDB"/>
    <w:rsid w:val="00896999"/>
    <w:rsid w:val="008A0AAA"/>
    <w:rsid w:val="008A3F84"/>
    <w:rsid w:val="008A6DCC"/>
    <w:rsid w:val="008A72C7"/>
    <w:rsid w:val="008A751C"/>
    <w:rsid w:val="008B0512"/>
    <w:rsid w:val="008B2219"/>
    <w:rsid w:val="008B2FD9"/>
    <w:rsid w:val="008B4DE8"/>
    <w:rsid w:val="008B4EA1"/>
    <w:rsid w:val="008C0AB8"/>
    <w:rsid w:val="008C0AFE"/>
    <w:rsid w:val="008C17BF"/>
    <w:rsid w:val="008C2415"/>
    <w:rsid w:val="008C2937"/>
    <w:rsid w:val="008C2C91"/>
    <w:rsid w:val="008C3B36"/>
    <w:rsid w:val="008C6ECD"/>
    <w:rsid w:val="008C7C26"/>
    <w:rsid w:val="008D14AB"/>
    <w:rsid w:val="008D4E11"/>
    <w:rsid w:val="008E0B47"/>
    <w:rsid w:val="008E1269"/>
    <w:rsid w:val="008E3C65"/>
    <w:rsid w:val="008E6F05"/>
    <w:rsid w:val="008E731A"/>
    <w:rsid w:val="008F6895"/>
    <w:rsid w:val="008F7925"/>
    <w:rsid w:val="00901746"/>
    <w:rsid w:val="00902AB6"/>
    <w:rsid w:val="00910170"/>
    <w:rsid w:val="0091259B"/>
    <w:rsid w:val="00913A00"/>
    <w:rsid w:val="0091647B"/>
    <w:rsid w:val="00916525"/>
    <w:rsid w:val="009213F6"/>
    <w:rsid w:val="0092230E"/>
    <w:rsid w:val="009225C2"/>
    <w:rsid w:val="00923C1E"/>
    <w:rsid w:val="00925F00"/>
    <w:rsid w:val="009278F2"/>
    <w:rsid w:val="00927BAC"/>
    <w:rsid w:val="00927EC7"/>
    <w:rsid w:val="00931EE7"/>
    <w:rsid w:val="00932ECA"/>
    <w:rsid w:val="00934304"/>
    <w:rsid w:val="00934B27"/>
    <w:rsid w:val="0093505B"/>
    <w:rsid w:val="00936A13"/>
    <w:rsid w:val="009422A1"/>
    <w:rsid w:val="00943E91"/>
    <w:rsid w:val="0094556D"/>
    <w:rsid w:val="009460FD"/>
    <w:rsid w:val="00946751"/>
    <w:rsid w:val="00947851"/>
    <w:rsid w:val="00951491"/>
    <w:rsid w:val="00951D99"/>
    <w:rsid w:val="00952AB1"/>
    <w:rsid w:val="009537AA"/>
    <w:rsid w:val="009540AD"/>
    <w:rsid w:val="00960F59"/>
    <w:rsid w:val="00961CB8"/>
    <w:rsid w:val="00963FE6"/>
    <w:rsid w:val="00964B33"/>
    <w:rsid w:val="00966579"/>
    <w:rsid w:val="00966906"/>
    <w:rsid w:val="00972BF5"/>
    <w:rsid w:val="00972C29"/>
    <w:rsid w:val="00974CBD"/>
    <w:rsid w:val="00977AEE"/>
    <w:rsid w:val="00983E88"/>
    <w:rsid w:val="00984AD8"/>
    <w:rsid w:val="00985332"/>
    <w:rsid w:val="009867D1"/>
    <w:rsid w:val="00986801"/>
    <w:rsid w:val="00994673"/>
    <w:rsid w:val="00994677"/>
    <w:rsid w:val="00994BA1"/>
    <w:rsid w:val="009A26DF"/>
    <w:rsid w:val="009A5120"/>
    <w:rsid w:val="009C3561"/>
    <w:rsid w:val="009C6BD8"/>
    <w:rsid w:val="009D2876"/>
    <w:rsid w:val="009D43B8"/>
    <w:rsid w:val="009E09AF"/>
    <w:rsid w:val="009E0B80"/>
    <w:rsid w:val="009E366A"/>
    <w:rsid w:val="009E3BAE"/>
    <w:rsid w:val="009E564B"/>
    <w:rsid w:val="009F297D"/>
    <w:rsid w:val="009F3058"/>
    <w:rsid w:val="009F3E5F"/>
    <w:rsid w:val="00A1092F"/>
    <w:rsid w:val="00A12BEB"/>
    <w:rsid w:val="00A13A9F"/>
    <w:rsid w:val="00A144DA"/>
    <w:rsid w:val="00A230D1"/>
    <w:rsid w:val="00A2566F"/>
    <w:rsid w:val="00A266C5"/>
    <w:rsid w:val="00A312EF"/>
    <w:rsid w:val="00A40106"/>
    <w:rsid w:val="00A45DF1"/>
    <w:rsid w:val="00A46B11"/>
    <w:rsid w:val="00A5157B"/>
    <w:rsid w:val="00A527D0"/>
    <w:rsid w:val="00A52AC7"/>
    <w:rsid w:val="00A5405E"/>
    <w:rsid w:val="00A5449E"/>
    <w:rsid w:val="00A54B69"/>
    <w:rsid w:val="00A56FEC"/>
    <w:rsid w:val="00A6049C"/>
    <w:rsid w:val="00A66137"/>
    <w:rsid w:val="00A67484"/>
    <w:rsid w:val="00A705D7"/>
    <w:rsid w:val="00A7328D"/>
    <w:rsid w:val="00A76D89"/>
    <w:rsid w:val="00A80D41"/>
    <w:rsid w:val="00A81EFF"/>
    <w:rsid w:val="00A82260"/>
    <w:rsid w:val="00A830CC"/>
    <w:rsid w:val="00A84A26"/>
    <w:rsid w:val="00A931ED"/>
    <w:rsid w:val="00AA0630"/>
    <w:rsid w:val="00AA258C"/>
    <w:rsid w:val="00AA45E1"/>
    <w:rsid w:val="00AB015B"/>
    <w:rsid w:val="00AB17B9"/>
    <w:rsid w:val="00AB2C69"/>
    <w:rsid w:val="00AB4F53"/>
    <w:rsid w:val="00AB5CC6"/>
    <w:rsid w:val="00AB6A37"/>
    <w:rsid w:val="00AB70C4"/>
    <w:rsid w:val="00AC0264"/>
    <w:rsid w:val="00AC21A7"/>
    <w:rsid w:val="00AC25D6"/>
    <w:rsid w:val="00AD1191"/>
    <w:rsid w:val="00AD1D22"/>
    <w:rsid w:val="00AD280F"/>
    <w:rsid w:val="00AD324E"/>
    <w:rsid w:val="00AE625B"/>
    <w:rsid w:val="00AF01C3"/>
    <w:rsid w:val="00AF1089"/>
    <w:rsid w:val="00AF1114"/>
    <w:rsid w:val="00AF322E"/>
    <w:rsid w:val="00AF33F3"/>
    <w:rsid w:val="00AF37A4"/>
    <w:rsid w:val="00AF532D"/>
    <w:rsid w:val="00AF54A0"/>
    <w:rsid w:val="00B006AF"/>
    <w:rsid w:val="00B02C48"/>
    <w:rsid w:val="00B048FD"/>
    <w:rsid w:val="00B052E8"/>
    <w:rsid w:val="00B05A28"/>
    <w:rsid w:val="00B07E5C"/>
    <w:rsid w:val="00B13D30"/>
    <w:rsid w:val="00B1551B"/>
    <w:rsid w:val="00B167E2"/>
    <w:rsid w:val="00B20AF1"/>
    <w:rsid w:val="00B22B88"/>
    <w:rsid w:val="00B22F0A"/>
    <w:rsid w:val="00B26953"/>
    <w:rsid w:val="00B277F0"/>
    <w:rsid w:val="00B302BE"/>
    <w:rsid w:val="00B313CE"/>
    <w:rsid w:val="00B3142C"/>
    <w:rsid w:val="00B324F1"/>
    <w:rsid w:val="00B33CF0"/>
    <w:rsid w:val="00B3449D"/>
    <w:rsid w:val="00B34E63"/>
    <w:rsid w:val="00B40BE9"/>
    <w:rsid w:val="00B41358"/>
    <w:rsid w:val="00B420F0"/>
    <w:rsid w:val="00B42851"/>
    <w:rsid w:val="00B44497"/>
    <w:rsid w:val="00B44AD4"/>
    <w:rsid w:val="00B46B39"/>
    <w:rsid w:val="00B5713B"/>
    <w:rsid w:val="00B57B1A"/>
    <w:rsid w:val="00B60B93"/>
    <w:rsid w:val="00B67288"/>
    <w:rsid w:val="00B70CC9"/>
    <w:rsid w:val="00B71101"/>
    <w:rsid w:val="00B721D6"/>
    <w:rsid w:val="00B72A92"/>
    <w:rsid w:val="00B7304D"/>
    <w:rsid w:val="00B744AA"/>
    <w:rsid w:val="00B75D56"/>
    <w:rsid w:val="00B76271"/>
    <w:rsid w:val="00B76569"/>
    <w:rsid w:val="00B8354D"/>
    <w:rsid w:val="00B86238"/>
    <w:rsid w:val="00B863AE"/>
    <w:rsid w:val="00B86B1D"/>
    <w:rsid w:val="00B86D11"/>
    <w:rsid w:val="00B90610"/>
    <w:rsid w:val="00B91197"/>
    <w:rsid w:val="00B91B6F"/>
    <w:rsid w:val="00B91B93"/>
    <w:rsid w:val="00B93660"/>
    <w:rsid w:val="00B94AC1"/>
    <w:rsid w:val="00B96B76"/>
    <w:rsid w:val="00BA0246"/>
    <w:rsid w:val="00BA1833"/>
    <w:rsid w:val="00BA5B66"/>
    <w:rsid w:val="00BA5DFC"/>
    <w:rsid w:val="00BA6C3A"/>
    <w:rsid w:val="00BA70AA"/>
    <w:rsid w:val="00BA74D5"/>
    <w:rsid w:val="00BB291D"/>
    <w:rsid w:val="00BB549A"/>
    <w:rsid w:val="00BB63EA"/>
    <w:rsid w:val="00BC082D"/>
    <w:rsid w:val="00BC3764"/>
    <w:rsid w:val="00BC499E"/>
    <w:rsid w:val="00BD0D00"/>
    <w:rsid w:val="00BD0FA2"/>
    <w:rsid w:val="00BD1E70"/>
    <w:rsid w:val="00BD7824"/>
    <w:rsid w:val="00BE089E"/>
    <w:rsid w:val="00BE6034"/>
    <w:rsid w:val="00BE760C"/>
    <w:rsid w:val="00BE7720"/>
    <w:rsid w:val="00BF12F9"/>
    <w:rsid w:val="00BF1EF4"/>
    <w:rsid w:val="00BF3811"/>
    <w:rsid w:val="00BF3CC4"/>
    <w:rsid w:val="00C00641"/>
    <w:rsid w:val="00C01ABA"/>
    <w:rsid w:val="00C03140"/>
    <w:rsid w:val="00C11C8B"/>
    <w:rsid w:val="00C17592"/>
    <w:rsid w:val="00C22B51"/>
    <w:rsid w:val="00C24491"/>
    <w:rsid w:val="00C26DD1"/>
    <w:rsid w:val="00C34895"/>
    <w:rsid w:val="00C3559E"/>
    <w:rsid w:val="00C36CFD"/>
    <w:rsid w:val="00C379BB"/>
    <w:rsid w:val="00C42AB1"/>
    <w:rsid w:val="00C47F0A"/>
    <w:rsid w:val="00C50D84"/>
    <w:rsid w:val="00C527B6"/>
    <w:rsid w:val="00C56EC6"/>
    <w:rsid w:val="00C61C10"/>
    <w:rsid w:val="00C6311F"/>
    <w:rsid w:val="00C64D0F"/>
    <w:rsid w:val="00C65831"/>
    <w:rsid w:val="00C707F0"/>
    <w:rsid w:val="00C735DD"/>
    <w:rsid w:val="00C7475E"/>
    <w:rsid w:val="00C77F35"/>
    <w:rsid w:val="00C80274"/>
    <w:rsid w:val="00C83575"/>
    <w:rsid w:val="00C8461B"/>
    <w:rsid w:val="00C86F31"/>
    <w:rsid w:val="00C90C43"/>
    <w:rsid w:val="00C95B57"/>
    <w:rsid w:val="00C96000"/>
    <w:rsid w:val="00C96094"/>
    <w:rsid w:val="00C96702"/>
    <w:rsid w:val="00CA021B"/>
    <w:rsid w:val="00CA0C67"/>
    <w:rsid w:val="00CA1760"/>
    <w:rsid w:val="00CA3BCC"/>
    <w:rsid w:val="00CA4276"/>
    <w:rsid w:val="00CA530B"/>
    <w:rsid w:val="00CB0851"/>
    <w:rsid w:val="00CB0A2B"/>
    <w:rsid w:val="00CB5B1A"/>
    <w:rsid w:val="00CC1719"/>
    <w:rsid w:val="00CC2697"/>
    <w:rsid w:val="00CC724C"/>
    <w:rsid w:val="00CC74B7"/>
    <w:rsid w:val="00CC7541"/>
    <w:rsid w:val="00CC7BB4"/>
    <w:rsid w:val="00CD0B07"/>
    <w:rsid w:val="00CD2F85"/>
    <w:rsid w:val="00CD4C25"/>
    <w:rsid w:val="00CD6191"/>
    <w:rsid w:val="00CD6C5C"/>
    <w:rsid w:val="00CE099D"/>
    <w:rsid w:val="00CE0CC2"/>
    <w:rsid w:val="00CE2749"/>
    <w:rsid w:val="00CE2C00"/>
    <w:rsid w:val="00CE4619"/>
    <w:rsid w:val="00CE76D6"/>
    <w:rsid w:val="00CE7D18"/>
    <w:rsid w:val="00CF1DF0"/>
    <w:rsid w:val="00CF1E49"/>
    <w:rsid w:val="00CF5148"/>
    <w:rsid w:val="00D104DC"/>
    <w:rsid w:val="00D10C36"/>
    <w:rsid w:val="00D1207D"/>
    <w:rsid w:val="00D12E02"/>
    <w:rsid w:val="00D133D5"/>
    <w:rsid w:val="00D145AB"/>
    <w:rsid w:val="00D16BC1"/>
    <w:rsid w:val="00D21200"/>
    <w:rsid w:val="00D218B4"/>
    <w:rsid w:val="00D242C9"/>
    <w:rsid w:val="00D265A2"/>
    <w:rsid w:val="00D3127D"/>
    <w:rsid w:val="00D3209B"/>
    <w:rsid w:val="00D333EE"/>
    <w:rsid w:val="00D34D86"/>
    <w:rsid w:val="00D41DF9"/>
    <w:rsid w:val="00D434C1"/>
    <w:rsid w:val="00D451C7"/>
    <w:rsid w:val="00D51B73"/>
    <w:rsid w:val="00D5434F"/>
    <w:rsid w:val="00D559D7"/>
    <w:rsid w:val="00D67216"/>
    <w:rsid w:val="00D74E94"/>
    <w:rsid w:val="00D80B61"/>
    <w:rsid w:val="00D859E1"/>
    <w:rsid w:val="00D8777D"/>
    <w:rsid w:val="00D909BC"/>
    <w:rsid w:val="00D915F4"/>
    <w:rsid w:val="00D932A7"/>
    <w:rsid w:val="00D94DA9"/>
    <w:rsid w:val="00D96AAC"/>
    <w:rsid w:val="00D977D7"/>
    <w:rsid w:val="00DA316E"/>
    <w:rsid w:val="00DA5F0B"/>
    <w:rsid w:val="00DB2950"/>
    <w:rsid w:val="00DB68DD"/>
    <w:rsid w:val="00DB7976"/>
    <w:rsid w:val="00DC205A"/>
    <w:rsid w:val="00DC6E9A"/>
    <w:rsid w:val="00DD6038"/>
    <w:rsid w:val="00DD70C0"/>
    <w:rsid w:val="00DE1D42"/>
    <w:rsid w:val="00DE1E14"/>
    <w:rsid w:val="00DE3F75"/>
    <w:rsid w:val="00DE42DA"/>
    <w:rsid w:val="00DE7B82"/>
    <w:rsid w:val="00DF4349"/>
    <w:rsid w:val="00DF6B21"/>
    <w:rsid w:val="00E02BFB"/>
    <w:rsid w:val="00E06E44"/>
    <w:rsid w:val="00E07D49"/>
    <w:rsid w:val="00E10670"/>
    <w:rsid w:val="00E10D0B"/>
    <w:rsid w:val="00E120FD"/>
    <w:rsid w:val="00E14BD4"/>
    <w:rsid w:val="00E155BC"/>
    <w:rsid w:val="00E24A6C"/>
    <w:rsid w:val="00E261DE"/>
    <w:rsid w:val="00E30998"/>
    <w:rsid w:val="00E31A6C"/>
    <w:rsid w:val="00E31C99"/>
    <w:rsid w:val="00E34B0D"/>
    <w:rsid w:val="00E36F79"/>
    <w:rsid w:val="00E4151F"/>
    <w:rsid w:val="00E41EF0"/>
    <w:rsid w:val="00E42CFC"/>
    <w:rsid w:val="00E42E29"/>
    <w:rsid w:val="00E45C02"/>
    <w:rsid w:val="00E46144"/>
    <w:rsid w:val="00E46349"/>
    <w:rsid w:val="00E47F56"/>
    <w:rsid w:val="00E501E0"/>
    <w:rsid w:val="00E518D4"/>
    <w:rsid w:val="00E518D7"/>
    <w:rsid w:val="00E52268"/>
    <w:rsid w:val="00E5474F"/>
    <w:rsid w:val="00E56FA3"/>
    <w:rsid w:val="00E61D4D"/>
    <w:rsid w:val="00E63702"/>
    <w:rsid w:val="00E66C48"/>
    <w:rsid w:val="00E71B30"/>
    <w:rsid w:val="00E85EA9"/>
    <w:rsid w:val="00E91FE5"/>
    <w:rsid w:val="00E9435D"/>
    <w:rsid w:val="00E94D80"/>
    <w:rsid w:val="00E94E25"/>
    <w:rsid w:val="00EA19AA"/>
    <w:rsid w:val="00EA2500"/>
    <w:rsid w:val="00EA3708"/>
    <w:rsid w:val="00EA3ED5"/>
    <w:rsid w:val="00EB0F0C"/>
    <w:rsid w:val="00EB1448"/>
    <w:rsid w:val="00EB1646"/>
    <w:rsid w:val="00EB4F6E"/>
    <w:rsid w:val="00EC0696"/>
    <w:rsid w:val="00EC14E0"/>
    <w:rsid w:val="00EC41A8"/>
    <w:rsid w:val="00ED0503"/>
    <w:rsid w:val="00ED0BEF"/>
    <w:rsid w:val="00ED1AAD"/>
    <w:rsid w:val="00ED1FC5"/>
    <w:rsid w:val="00ED3419"/>
    <w:rsid w:val="00ED3F84"/>
    <w:rsid w:val="00EE0CAB"/>
    <w:rsid w:val="00EE18FE"/>
    <w:rsid w:val="00EE7E41"/>
    <w:rsid w:val="00EF4B3B"/>
    <w:rsid w:val="00F025EE"/>
    <w:rsid w:val="00F05B8E"/>
    <w:rsid w:val="00F07D3A"/>
    <w:rsid w:val="00F12BF0"/>
    <w:rsid w:val="00F13402"/>
    <w:rsid w:val="00F13B95"/>
    <w:rsid w:val="00F1477E"/>
    <w:rsid w:val="00F16E0F"/>
    <w:rsid w:val="00F215D2"/>
    <w:rsid w:val="00F21E77"/>
    <w:rsid w:val="00F22D7C"/>
    <w:rsid w:val="00F242A1"/>
    <w:rsid w:val="00F24392"/>
    <w:rsid w:val="00F25D5F"/>
    <w:rsid w:val="00F30EDA"/>
    <w:rsid w:val="00F32E84"/>
    <w:rsid w:val="00F409FB"/>
    <w:rsid w:val="00F47B2E"/>
    <w:rsid w:val="00F52F54"/>
    <w:rsid w:val="00F56681"/>
    <w:rsid w:val="00F56C71"/>
    <w:rsid w:val="00F61243"/>
    <w:rsid w:val="00F63FE8"/>
    <w:rsid w:val="00F66ACF"/>
    <w:rsid w:val="00F72F4A"/>
    <w:rsid w:val="00F743D3"/>
    <w:rsid w:val="00F75AF8"/>
    <w:rsid w:val="00F8047D"/>
    <w:rsid w:val="00F8070A"/>
    <w:rsid w:val="00F81B63"/>
    <w:rsid w:val="00F831AE"/>
    <w:rsid w:val="00F84F60"/>
    <w:rsid w:val="00F902F0"/>
    <w:rsid w:val="00F90961"/>
    <w:rsid w:val="00FA0487"/>
    <w:rsid w:val="00FA4251"/>
    <w:rsid w:val="00FB24FC"/>
    <w:rsid w:val="00FB2ACA"/>
    <w:rsid w:val="00FB5ED5"/>
    <w:rsid w:val="00FC26AF"/>
    <w:rsid w:val="00FC36CE"/>
    <w:rsid w:val="00FC375B"/>
    <w:rsid w:val="00FC46A1"/>
    <w:rsid w:val="00FD2E57"/>
    <w:rsid w:val="00FD3F7D"/>
    <w:rsid w:val="00FD40A7"/>
    <w:rsid w:val="00FD452D"/>
    <w:rsid w:val="00FD47E8"/>
    <w:rsid w:val="00FE102F"/>
    <w:rsid w:val="00FE30EA"/>
    <w:rsid w:val="00FE3D9B"/>
    <w:rsid w:val="00FE6B17"/>
    <w:rsid w:val="00FF5F9A"/>
    <w:rsid w:val="00FF77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CDCC877-6F36-4E51-A809-C502DBAC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EE"/>
    <w:pPr>
      <w:spacing w:after="120"/>
    </w:pPr>
    <w:rPr>
      <w:rFonts w:ascii="Book Antiqua" w:hAnsi="Book Antiqua"/>
      <w:color w:val="000000"/>
    </w:rPr>
  </w:style>
  <w:style w:type="paragraph" w:styleId="Heading1">
    <w:name w:val="heading 1"/>
    <w:basedOn w:val="Normal"/>
    <w:next w:val="Normal"/>
    <w:link w:val="Heading1Char"/>
    <w:qFormat/>
    <w:rsid w:val="00E46144"/>
    <w:pPr>
      <w:spacing w:after="720"/>
      <w:jc w:val="center"/>
      <w:outlineLvl w:val="0"/>
    </w:pPr>
    <w:rPr>
      <w:rFonts w:ascii="Arial" w:hAnsi="Arial" w:cs="Arial"/>
      <w:b/>
      <w:bCs/>
      <w:smallCaps/>
      <w:kern w:val="32"/>
      <w:sz w:val="52"/>
      <w:szCs w:val="34"/>
    </w:rPr>
  </w:style>
  <w:style w:type="paragraph" w:styleId="Heading2">
    <w:name w:val="heading 2"/>
    <w:next w:val="Normal"/>
    <w:link w:val="Heading2Char"/>
    <w:qFormat/>
    <w:rsid w:val="00067B4E"/>
    <w:pPr>
      <w:spacing w:after="240"/>
      <w:outlineLvl w:val="1"/>
    </w:pPr>
    <w:rPr>
      <w:rFonts w:ascii="Arial" w:hAnsi="Arial" w:cs="Arial"/>
      <w:iCs/>
      <w:color w:val="000000"/>
      <w:sz w:val="30"/>
      <w:szCs w:val="30"/>
    </w:rPr>
  </w:style>
  <w:style w:type="paragraph" w:styleId="Heading3">
    <w:name w:val="heading 3"/>
    <w:basedOn w:val="Normal"/>
    <w:next w:val="Normal"/>
    <w:link w:val="Heading3Char"/>
    <w:qFormat/>
    <w:rsid w:val="00E46349"/>
    <w:pPr>
      <w:keepNext/>
      <w:tabs>
        <w:tab w:val="left" w:pos="709"/>
      </w:tabs>
      <w:spacing w:before="240" w:after="240"/>
      <w:outlineLvl w:val="2"/>
    </w:pPr>
    <w:rPr>
      <w:rFonts w:ascii="Arial" w:hAnsi="Arial" w:cs="Arial"/>
      <w:b/>
      <w:smallCaps/>
      <w:sz w:val="26"/>
      <w:szCs w:val="26"/>
    </w:rPr>
  </w:style>
  <w:style w:type="paragraph" w:styleId="Heading4">
    <w:name w:val="heading 4"/>
    <w:basedOn w:val="Normal"/>
    <w:next w:val="Normal"/>
    <w:qFormat/>
    <w:rsid w:val="00977AEE"/>
    <w:pPr>
      <w:spacing w:before="240"/>
      <w:outlineLvl w:val="3"/>
    </w:pPr>
    <w:rPr>
      <w:rFonts w:ascii="Arial" w:hAnsi="Arial"/>
      <w:b/>
      <w:sz w:val="22"/>
    </w:rPr>
  </w:style>
  <w:style w:type="paragraph" w:styleId="Heading5">
    <w:name w:val="heading 5"/>
    <w:basedOn w:val="Normal"/>
    <w:next w:val="Normal"/>
    <w:rsid w:val="00FD452D"/>
    <w:pPr>
      <w:keepNext/>
      <w:spacing w:before="120"/>
      <w:outlineLvl w:val="4"/>
    </w:pPr>
    <w:rPr>
      <w:rFonts w:ascii="Arial" w:hAnsi="Arial" w:cs="Arial"/>
      <w:b/>
      <w:szCs w:val="18"/>
    </w:rPr>
  </w:style>
  <w:style w:type="paragraph" w:styleId="Heading6">
    <w:name w:val="heading 6"/>
    <w:basedOn w:val="Normal"/>
    <w:next w:val="Normal"/>
    <w:rsid w:val="00FD452D"/>
    <w:pPr>
      <w:keepNext/>
      <w:spacing w:before="120"/>
      <w:outlineLvl w:val="5"/>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3660"/>
    <w:pPr>
      <w:tabs>
        <w:tab w:val="center" w:pos="4513"/>
        <w:tab w:val="right" w:pos="9026"/>
      </w:tabs>
      <w:spacing w:after="0"/>
    </w:pPr>
  </w:style>
  <w:style w:type="character" w:customStyle="1" w:styleId="HeaderChar">
    <w:name w:val="Header Char"/>
    <w:basedOn w:val="DefaultParagraphFont"/>
    <w:link w:val="Header"/>
    <w:uiPriority w:val="99"/>
    <w:rsid w:val="00B93660"/>
    <w:rPr>
      <w:rFonts w:ascii="Book Antiqua" w:hAnsi="Book Antiqua"/>
    </w:rPr>
  </w:style>
  <w:style w:type="paragraph" w:styleId="Footer">
    <w:name w:val="footer"/>
    <w:basedOn w:val="Normal"/>
    <w:link w:val="FooterChar"/>
    <w:rsid w:val="00977AEE"/>
    <w:pPr>
      <w:pBdr>
        <w:top w:val="single" w:sz="4" w:space="1" w:color="auto"/>
      </w:pBdr>
      <w:jc w:val="center"/>
    </w:pPr>
    <w:rPr>
      <w:rFonts w:ascii="Arial" w:hAnsi="Arial"/>
      <w:sz w:val="18"/>
      <w:szCs w:val="24"/>
      <w:lang w:eastAsia="en-US"/>
    </w:rPr>
  </w:style>
  <w:style w:type="character" w:customStyle="1" w:styleId="FooterChar">
    <w:name w:val="Footer Char"/>
    <w:basedOn w:val="DefaultParagraphFont"/>
    <w:link w:val="Footer"/>
    <w:rsid w:val="00977AEE"/>
    <w:rPr>
      <w:rFonts w:ascii="Arial" w:hAnsi="Arial"/>
      <w:sz w:val="18"/>
      <w:szCs w:val="24"/>
      <w:lang w:eastAsia="en-US"/>
    </w:rPr>
  </w:style>
  <w:style w:type="paragraph" w:customStyle="1" w:styleId="Header2-Left">
    <w:name w:val="Header 2 - Left"/>
    <w:basedOn w:val="Normal"/>
    <w:link w:val="Header2-LeftChar"/>
    <w:qFormat/>
    <w:locked/>
    <w:rsid w:val="00977AEE"/>
    <w:pPr>
      <w:pBdr>
        <w:bottom w:val="single" w:sz="4" w:space="1" w:color="auto"/>
      </w:pBdr>
    </w:pPr>
    <w:rPr>
      <w:rFonts w:ascii="Arial" w:hAnsi="Arial"/>
      <w:sz w:val="18"/>
    </w:rPr>
  </w:style>
  <w:style w:type="table" w:styleId="TableGrid">
    <w:name w:val="Table Grid"/>
    <w:basedOn w:val="TableNormal"/>
    <w:locked/>
    <w:rsid w:val="00E45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Paragraph"/>
    <w:basedOn w:val="Normal"/>
    <w:link w:val="ListParagraphChar"/>
    <w:uiPriority w:val="34"/>
    <w:qFormat/>
    <w:rsid w:val="002E2007"/>
    <w:pPr>
      <w:numPr>
        <w:numId w:val="5"/>
      </w:numPr>
      <w:ind w:left="357" w:hanging="357"/>
      <w:contextualSpacing/>
    </w:pPr>
  </w:style>
  <w:style w:type="paragraph" w:customStyle="1" w:styleId="OutcomeStatement">
    <w:name w:val="Outcome Statement"/>
    <w:basedOn w:val="Normal"/>
    <w:link w:val="OutcomeStatementChar"/>
    <w:qFormat/>
    <w:locked/>
    <w:rsid w:val="00E42E29"/>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E42E29"/>
    <w:rPr>
      <w:rFonts w:ascii="Arial" w:hAnsi="Arial"/>
      <w:bCs/>
      <w:iCs/>
      <w:snapToGrid w:val="0"/>
      <w:color w:val="000000"/>
      <w:sz w:val="18"/>
      <w:szCs w:val="26"/>
      <w:shd w:val="clear" w:color="auto" w:fill="D9D9D9"/>
    </w:rPr>
  </w:style>
  <w:style w:type="paragraph" w:customStyle="1" w:styleId="Header1-Right">
    <w:name w:val="Header 1 - Right"/>
    <w:basedOn w:val="Normal"/>
    <w:next w:val="Normal"/>
    <w:link w:val="Header1-RightChar"/>
    <w:qFormat/>
    <w:locked/>
    <w:rsid w:val="00977AEE"/>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977AEE"/>
    <w:rPr>
      <w:rFonts w:ascii="Arial" w:hAnsi="Arial" w:cs="Arial"/>
      <w:sz w:val="18"/>
      <w:szCs w:val="18"/>
      <w:lang w:val="en-US" w:eastAsia="en-US"/>
    </w:rPr>
  </w:style>
  <w:style w:type="character" w:customStyle="1" w:styleId="Header2-LeftChar">
    <w:name w:val="Header 2 - Left Char"/>
    <w:basedOn w:val="DefaultParagraphFont"/>
    <w:link w:val="Header2-Left"/>
    <w:rsid w:val="00977AEE"/>
    <w:rPr>
      <w:rFonts w:ascii="Arial" w:hAnsi="Arial"/>
      <w:sz w:val="18"/>
    </w:rPr>
  </w:style>
  <w:style w:type="paragraph" w:customStyle="1" w:styleId="Tablenumberandreference">
    <w:name w:val="Table number and reference"/>
    <w:qFormat/>
    <w:rsid w:val="00067B4E"/>
    <w:pPr>
      <w:spacing w:after="120"/>
    </w:pPr>
    <w:rPr>
      <w:rFonts w:ascii="Arial" w:hAnsi="Arial" w:cs="Arial"/>
      <w:b/>
      <w:color w:val="000000"/>
      <w:szCs w:val="18"/>
      <w:lang w:eastAsia="en-US"/>
    </w:rPr>
  </w:style>
  <w:style w:type="paragraph" w:styleId="FootnoteText">
    <w:name w:val="footnote text"/>
    <w:aliases w:val="(NECG) Footnote Text"/>
    <w:basedOn w:val="Normal"/>
    <w:link w:val="FootnoteTextChar"/>
    <w:qFormat/>
    <w:rsid w:val="002D6515"/>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D6515"/>
    <w:rPr>
      <w:rFonts w:ascii="Arial" w:hAnsi="Arial"/>
      <w:color w:val="000000"/>
      <w:sz w:val="15"/>
    </w:rPr>
  </w:style>
  <w:style w:type="character" w:styleId="FootnoteReference">
    <w:name w:val="footnote reference"/>
    <w:aliases w:val="(NECG) Footnote Reference"/>
    <w:basedOn w:val="DefaultParagraphFont"/>
    <w:rsid w:val="002D6515"/>
    <w:rPr>
      <w:rFonts w:ascii="Arial" w:hAnsi="Arial"/>
      <w:caps w:val="0"/>
      <w:smallCaps w:val="0"/>
      <w:strike w:val="0"/>
      <w:dstrike w:val="0"/>
      <w:vanish w:val="0"/>
      <w:sz w:val="15"/>
      <w:vertAlign w:val="superscript"/>
    </w:rPr>
  </w:style>
  <w:style w:type="character" w:customStyle="1" w:styleId="Heading2Char">
    <w:name w:val="Heading 2 Char"/>
    <w:basedOn w:val="DefaultParagraphFont"/>
    <w:link w:val="Heading2"/>
    <w:rsid w:val="00067B4E"/>
    <w:rPr>
      <w:rFonts w:ascii="Arial" w:hAnsi="Arial" w:cs="Arial"/>
      <w:iCs/>
      <w:color w:val="000000"/>
      <w:sz w:val="30"/>
      <w:szCs w:val="30"/>
    </w:rPr>
  </w:style>
  <w:style w:type="character" w:customStyle="1" w:styleId="Heading1Char">
    <w:name w:val="Heading 1 Char"/>
    <w:basedOn w:val="DefaultParagraphFont"/>
    <w:link w:val="Heading1"/>
    <w:rsid w:val="00E46144"/>
    <w:rPr>
      <w:rFonts w:ascii="Arial" w:hAnsi="Arial" w:cs="Arial"/>
      <w:b/>
      <w:bCs/>
      <w:smallCaps/>
      <w:color w:val="000000"/>
      <w:kern w:val="32"/>
      <w:sz w:val="52"/>
      <w:szCs w:val="34"/>
    </w:rPr>
  </w:style>
  <w:style w:type="paragraph" w:customStyle="1" w:styleId="LinkedProgrammeBullet">
    <w:name w:val="Linked Programme Bullet"/>
    <w:basedOn w:val="ListParagraph"/>
    <w:link w:val="LinkedProgrammeBulletChar"/>
    <w:qFormat/>
    <w:locked/>
    <w:rsid w:val="008E3C65"/>
    <w:pPr>
      <w:numPr>
        <w:numId w:val="22"/>
      </w:numPr>
      <w:tabs>
        <w:tab w:val="left" w:pos="357"/>
      </w:tabs>
      <w:spacing w:before="40" w:after="40"/>
      <w:ind w:left="284" w:hanging="284"/>
    </w:pPr>
    <w:rPr>
      <w:rFonts w:cs="Arial"/>
      <w:sz w:val="18"/>
      <w:szCs w:val="16"/>
    </w:rPr>
  </w:style>
  <w:style w:type="character" w:customStyle="1" w:styleId="ListParagraphChar">
    <w:name w:val="List Paragraph Char"/>
    <w:aliases w:val="Bullet List Paragraph Char"/>
    <w:basedOn w:val="DefaultParagraphFont"/>
    <w:link w:val="ListParagraph"/>
    <w:uiPriority w:val="34"/>
    <w:rsid w:val="002E2007"/>
    <w:rPr>
      <w:rFonts w:ascii="Book Antiqua" w:hAnsi="Book Antiqua"/>
    </w:rPr>
  </w:style>
  <w:style w:type="character" w:customStyle="1" w:styleId="LinkedProgrammeBulletChar">
    <w:name w:val="Linked Programme Bullet Char"/>
    <w:basedOn w:val="ListParagraphChar"/>
    <w:link w:val="LinkedProgrammeBullet"/>
    <w:rsid w:val="008E3C65"/>
    <w:rPr>
      <w:rFonts w:ascii="Arial" w:hAnsi="Arial" w:cs="Arial"/>
      <w:sz w:val="18"/>
      <w:szCs w:val="16"/>
    </w:rPr>
  </w:style>
  <w:style w:type="paragraph" w:customStyle="1" w:styleId="HPE">
    <w:name w:val="HPE"/>
    <w:basedOn w:val="Normal"/>
    <w:link w:val="HPEChar"/>
    <w:qFormat/>
    <w:rsid w:val="004B480F"/>
    <w:pPr>
      <w:pBdr>
        <w:bottom w:val="single" w:sz="4" w:space="1" w:color="auto"/>
      </w:pBdr>
      <w:tabs>
        <w:tab w:val="left" w:leader="dot" w:pos="567"/>
        <w:tab w:val="right" w:leader="dot" w:pos="7371"/>
      </w:tabs>
      <w:spacing w:before="100" w:beforeAutospacing="1" w:after="240"/>
      <w:jc w:val="right"/>
    </w:pPr>
    <w:rPr>
      <w:rFonts w:cs="Arial"/>
      <w:bCs/>
    </w:rPr>
  </w:style>
  <w:style w:type="paragraph" w:customStyle="1" w:styleId="TOCHeading1">
    <w:name w:val="TOC Heading1"/>
    <w:basedOn w:val="Normal"/>
    <w:link w:val="ToCHeadingChar"/>
    <w:rsid w:val="00910170"/>
    <w:pPr>
      <w:tabs>
        <w:tab w:val="left" w:leader="dot" w:pos="567"/>
        <w:tab w:val="left" w:pos="709"/>
        <w:tab w:val="right" w:leader="dot" w:pos="7371"/>
      </w:tabs>
      <w:spacing w:before="960"/>
      <w:outlineLvl w:val="1"/>
    </w:pPr>
    <w:rPr>
      <w:rFonts w:ascii="Arial" w:hAnsi="Arial" w:cs="Arial"/>
      <w:b/>
    </w:rPr>
  </w:style>
  <w:style w:type="character" w:customStyle="1" w:styleId="HPEChar">
    <w:name w:val="HPE Char"/>
    <w:basedOn w:val="DefaultParagraphFont"/>
    <w:link w:val="HPE"/>
    <w:rsid w:val="004B480F"/>
    <w:rPr>
      <w:rFonts w:ascii="Arial" w:hAnsi="Arial" w:cs="Arial"/>
      <w:bCs/>
    </w:rPr>
  </w:style>
  <w:style w:type="paragraph" w:customStyle="1" w:styleId="ToCHeading2">
    <w:name w:val="ToC Heading 2"/>
    <w:basedOn w:val="Normal"/>
    <w:link w:val="ToCHeading2Char"/>
    <w:rsid w:val="00910170"/>
    <w:pPr>
      <w:tabs>
        <w:tab w:val="left" w:pos="567"/>
        <w:tab w:val="right" w:leader="dot" w:pos="7371"/>
      </w:tabs>
      <w:spacing w:before="180"/>
      <w:outlineLvl w:val="1"/>
    </w:pPr>
    <w:rPr>
      <w:rFonts w:ascii="Arial" w:hAnsi="Arial" w:cs="Arial"/>
      <w:b/>
    </w:rPr>
  </w:style>
  <w:style w:type="character" w:customStyle="1" w:styleId="ToCHeadingChar">
    <w:name w:val="ToC Heading Char"/>
    <w:basedOn w:val="DefaultParagraphFont"/>
    <w:link w:val="TOCHeading1"/>
    <w:rsid w:val="00910170"/>
    <w:rPr>
      <w:rFonts w:ascii="Arial" w:hAnsi="Arial" w:cs="Arial"/>
      <w:b/>
      <w:color w:val="000000"/>
    </w:rPr>
  </w:style>
  <w:style w:type="paragraph" w:customStyle="1" w:styleId="ToCSubHeading">
    <w:name w:val="ToC Sub Heading"/>
    <w:basedOn w:val="Normal"/>
    <w:link w:val="ToCSubHeadingChar"/>
    <w:rsid w:val="00910170"/>
    <w:pPr>
      <w:tabs>
        <w:tab w:val="left" w:pos="709"/>
        <w:tab w:val="right" w:leader="dot" w:pos="7371"/>
      </w:tabs>
      <w:spacing w:before="60"/>
    </w:pPr>
    <w:rPr>
      <w:rFonts w:ascii="Arial" w:hAnsi="Arial" w:cs="Arial"/>
    </w:rPr>
  </w:style>
  <w:style w:type="character" w:customStyle="1" w:styleId="ToCHeading2Char">
    <w:name w:val="ToC Heading 2 Char"/>
    <w:basedOn w:val="DefaultParagraphFont"/>
    <w:link w:val="ToCHeading2"/>
    <w:rsid w:val="00910170"/>
    <w:rPr>
      <w:rFonts w:ascii="Arial" w:hAnsi="Arial" w:cs="Arial"/>
      <w:b/>
      <w:color w:val="000000"/>
    </w:rPr>
  </w:style>
  <w:style w:type="character" w:customStyle="1" w:styleId="ToCSubHeadingChar">
    <w:name w:val="ToC Sub Heading Char"/>
    <w:basedOn w:val="DefaultParagraphFont"/>
    <w:link w:val="ToCSubHeading"/>
    <w:rsid w:val="00910170"/>
    <w:rPr>
      <w:rFonts w:ascii="Arial" w:hAnsi="Arial" w:cs="Arial"/>
      <w:color w:val="000000"/>
    </w:rPr>
  </w:style>
  <w:style w:type="paragraph" w:customStyle="1" w:styleId="EntitySubtitle">
    <w:name w:val="Entity Subtitle"/>
    <w:basedOn w:val="Normal"/>
    <w:link w:val="EntitySubtitleChar"/>
    <w:qFormat/>
    <w:rsid w:val="00FD452D"/>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FD452D"/>
    <w:rPr>
      <w:rFonts w:ascii="Arial Bold" w:hAnsi="Arial Bold" w:cs="Arial"/>
      <w:b/>
      <w:bCs/>
      <w:smallCaps w:val="0"/>
      <w:sz w:val="44"/>
      <w:szCs w:val="56"/>
    </w:rPr>
  </w:style>
  <w:style w:type="paragraph" w:customStyle="1" w:styleId="Footnotes">
    <w:name w:val="Footnotes"/>
    <w:basedOn w:val="FootnoteText"/>
    <w:link w:val="FootnotesChar"/>
    <w:qFormat/>
    <w:rsid w:val="00277D4D"/>
    <w:pPr>
      <w:tabs>
        <w:tab w:val="clear" w:pos="284"/>
      </w:tabs>
    </w:pPr>
    <w:rPr>
      <w:bdr w:val="nil"/>
    </w:rPr>
  </w:style>
  <w:style w:type="character" w:customStyle="1" w:styleId="FootnotesChar">
    <w:name w:val="Footnotes Char"/>
    <w:basedOn w:val="FootnoteTextChar"/>
    <w:link w:val="Footnotes"/>
    <w:rsid w:val="00277D4D"/>
    <w:rPr>
      <w:rFonts w:ascii="Book Antiqua" w:hAnsi="Book Antiqua"/>
      <w:color w:val="000000"/>
      <w:sz w:val="16"/>
      <w:bdr w:val="nil"/>
    </w:rPr>
  </w:style>
  <w:style w:type="paragraph" w:styleId="BalloonText">
    <w:name w:val="Balloon Text"/>
    <w:basedOn w:val="Normal"/>
    <w:link w:val="BalloonTextChar"/>
    <w:rsid w:val="000E3E8B"/>
    <w:pPr>
      <w:spacing w:after="0"/>
    </w:pPr>
    <w:rPr>
      <w:rFonts w:ascii="Tahoma" w:hAnsi="Tahoma" w:cs="Tahoma"/>
      <w:sz w:val="16"/>
      <w:szCs w:val="16"/>
    </w:rPr>
  </w:style>
  <w:style w:type="character" w:customStyle="1" w:styleId="BalloonTextChar">
    <w:name w:val="Balloon Text Char"/>
    <w:basedOn w:val="DefaultParagraphFont"/>
    <w:link w:val="BalloonText"/>
    <w:rsid w:val="000E3E8B"/>
    <w:rPr>
      <w:rFonts w:ascii="Tahoma" w:hAnsi="Tahoma" w:cs="Tahoma"/>
      <w:sz w:val="16"/>
      <w:szCs w:val="16"/>
    </w:rPr>
  </w:style>
  <w:style w:type="character" w:styleId="Hyperlink">
    <w:name w:val="Hyperlink"/>
    <w:basedOn w:val="DefaultParagraphFont"/>
    <w:uiPriority w:val="99"/>
    <w:rsid w:val="001005E2"/>
    <w:rPr>
      <w:color w:val="0000FF" w:themeColor="hyperlink"/>
      <w:u w:val="single"/>
    </w:rPr>
  </w:style>
  <w:style w:type="character" w:customStyle="1" w:styleId="Heading3Char">
    <w:name w:val="Heading 3 Char"/>
    <w:link w:val="Heading3"/>
    <w:rsid w:val="00E46349"/>
    <w:rPr>
      <w:rFonts w:ascii="Arial" w:hAnsi="Arial" w:cs="Arial"/>
      <w:b/>
      <w:smallCaps/>
      <w:color w:val="000000"/>
      <w:sz w:val="26"/>
      <w:szCs w:val="26"/>
    </w:rPr>
  </w:style>
  <w:style w:type="paragraph" w:customStyle="1" w:styleId="Tableheadingrow9pt">
    <w:name w:val="Table heading row 9pt"/>
    <w:link w:val="Tableheadingrow9ptChar"/>
    <w:qFormat/>
    <w:locked/>
    <w:rsid w:val="007C5C30"/>
    <w:pPr>
      <w:spacing w:before="40" w:after="40"/>
    </w:pPr>
    <w:rPr>
      <w:rFonts w:ascii="Arial" w:hAnsi="Arial" w:cs="Arial"/>
      <w:b/>
      <w:color w:val="000000"/>
      <w:sz w:val="18"/>
      <w:szCs w:val="18"/>
    </w:rPr>
  </w:style>
  <w:style w:type="character" w:customStyle="1" w:styleId="Tableheadingrow9ptChar">
    <w:name w:val="Table heading row 9pt Char"/>
    <w:basedOn w:val="DefaultParagraphFont"/>
    <w:link w:val="Tableheadingrow9pt"/>
    <w:rsid w:val="007C5C30"/>
    <w:rPr>
      <w:rFonts w:ascii="Arial" w:hAnsi="Arial" w:cs="Arial"/>
      <w:b/>
      <w:color w:val="000000"/>
      <w:sz w:val="18"/>
      <w:szCs w:val="18"/>
    </w:rPr>
  </w:style>
  <w:style w:type="paragraph" w:customStyle="1" w:styleId="Tabletextnormal9pt">
    <w:name w:val="Table text (normal) 9pt"/>
    <w:qFormat/>
    <w:locked/>
    <w:rsid w:val="007C5C30"/>
    <w:pPr>
      <w:spacing w:before="40" w:after="40"/>
    </w:pPr>
    <w:rPr>
      <w:rFonts w:ascii="Arial" w:hAnsi="Arial" w:cs="Arial"/>
      <w:color w:val="000000"/>
      <w:sz w:val="18"/>
      <w:szCs w:val="18"/>
    </w:rPr>
  </w:style>
  <w:style w:type="paragraph" w:customStyle="1" w:styleId="Tableheadingrowmeasures85pt">
    <w:name w:val="Table heading row (measures) 8.5pt"/>
    <w:basedOn w:val="Tableheadingrow9pt"/>
    <w:qFormat/>
    <w:rsid w:val="007C5C30"/>
    <w:rPr>
      <w:sz w:val="17"/>
      <w:szCs w:val="17"/>
    </w:rPr>
  </w:style>
  <w:style w:type="paragraph" w:customStyle="1" w:styleId="Tabletextmeasures85pt">
    <w:name w:val="Table text (measures) 8.5pt"/>
    <w:basedOn w:val="Tabletextnormal9pt"/>
    <w:qFormat/>
    <w:rsid w:val="007C5C30"/>
    <w:rPr>
      <w:sz w:val="17"/>
      <w:szCs w:val="17"/>
    </w:rPr>
  </w:style>
  <w:style w:type="paragraph" w:styleId="TOC1">
    <w:name w:val="toc 1"/>
    <w:next w:val="Normal"/>
    <w:autoRedefine/>
    <w:uiPriority w:val="39"/>
    <w:qFormat/>
    <w:rsid w:val="00323E1C"/>
    <w:pPr>
      <w:tabs>
        <w:tab w:val="right" w:leader="dot" w:pos="7360"/>
      </w:tabs>
      <w:spacing w:before="360" w:after="120"/>
    </w:pPr>
    <w:rPr>
      <w:rFonts w:ascii="Arial" w:hAnsi="Arial"/>
      <w:b/>
      <w:color w:val="000000"/>
    </w:rPr>
  </w:style>
  <w:style w:type="paragraph" w:styleId="TOC2">
    <w:name w:val="toc 2"/>
    <w:next w:val="Normal"/>
    <w:autoRedefine/>
    <w:uiPriority w:val="39"/>
    <w:qFormat/>
    <w:rsid w:val="00D96AAC"/>
    <w:pPr>
      <w:spacing w:before="60" w:after="120"/>
    </w:pPr>
    <w:rPr>
      <w:rFonts w:ascii="Arial" w:hAnsi="Arial"/>
      <w:color w:val="000000"/>
    </w:rPr>
  </w:style>
  <w:style w:type="paragraph" w:customStyle="1" w:styleId="ProgramContributingNames">
    <w:name w:val="Program Contributing Names"/>
    <w:basedOn w:val="Normal"/>
    <w:next w:val="Normal"/>
    <w:qFormat/>
    <w:locked/>
    <w:rsid w:val="00C8461B"/>
    <w:pPr>
      <w:pBdr>
        <w:top w:val="single" w:sz="4" w:space="2" w:color="auto"/>
        <w:left w:val="single" w:sz="4" w:space="4" w:color="auto"/>
        <w:bottom w:val="single" w:sz="4" w:space="2" w:color="auto"/>
        <w:right w:val="single" w:sz="4" w:space="4" w:color="auto"/>
      </w:pBdr>
      <w:tabs>
        <w:tab w:val="left" w:pos="1559"/>
      </w:tabs>
      <w:spacing w:before="120"/>
      <w:ind w:left="1418" w:hanging="1418"/>
    </w:pPr>
    <w:rPr>
      <w:rFonts w:ascii="Arial" w:hAnsi="Arial"/>
      <w:b/>
      <w:color w:val="000000" w:themeColor="text1"/>
      <w:sz w:val="18"/>
      <w:szCs w:val="18"/>
    </w:rPr>
  </w:style>
  <w:style w:type="paragraph" w:customStyle="1" w:styleId="StyleTableGraphicItalicRed">
    <w:name w:val="Style Table Graphic + Italic Red"/>
    <w:basedOn w:val="Normal"/>
    <w:rsid w:val="00456383"/>
    <w:pPr>
      <w:spacing w:after="60" w:line="200" w:lineRule="exact"/>
    </w:pPr>
    <w:rPr>
      <w:i/>
      <w:iCs/>
      <w:color w:val="FF0000"/>
    </w:rPr>
  </w:style>
  <w:style w:type="character" w:styleId="CommentReference">
    <w:name w:val="annotation reference"/>
    <w:basedOn w:val="DefaultParagraphFont"/>
    <w:semiHidden/>
    <w:unhideWhenUsed/>
    <w:rsid w:val="00384243"/>
    <w:rPr>
      <w:sz w:val="16"/>
      <w:szCs w:val="16"/>
    </w:rPr>
  </w:style>
  <w:style w:type="paragraph" w:styleId="CommentText">
    <w:name w:val="annotation text"/>
    <w:basedOn w:val="Normal"/>
    <w:link w:val="CommentTextChar"/>
    <w:semiHidden/>
    <w:unhideWhenUsed/>
    <w:rsid w:val="00384243"/>
  </w:style>
  <w:style w:type="character" w:customStyle="1" w:styleId="CommentTextChar">
    <w:name w:val="Comment Text Char"/>
    <w:basedOn w:val="DefaultParagraphFont"/>
    <w:link w:val="CommentText"/>
    <w:semiHidden/>
    <w:rsid w:val="00384243"/>
    <w:rPr>
      <w:rFonts w:ascii="Book Antiqua" w:hAnsi="Book Antiqua"/>
      <w:color w:val="000000"/>
    </w:rPr>
  </w:style>
  <w:style w:type="paragraph" w:styleId="CommentSubject">
    <w:name w:val="annotation subject"/>
    <w:basedOn w:val="CommentText"/>
    <w:next w:val="CommentText"/>
    <w:link w:val="CommentSubjectChar"/>
    <w:semiHidden/>
    <w:unhideWhenUsed/>
    <w:rsid w:val="00384243"/>
    <w:rPr>
      <w:b/>
      <w:bCs/>
    </w:rPr>
  </w:style>
  <w:style w:type="character" w:customStyle="1" w:styleId="CommentSubjectChar">
    <w:name w:val="Comment Subject Char"/>
    <w:basedOn w:val="CommentTextChar"/>
    <w:link w:val="CommentSubject"/>
    <w:semiHidden/>
    <w:rsid w:val="00384243"/>
    <w:rPr>
      <w:rFonts w:ascii="Book Antiqua" w:hAnsi="Book Antiqua"/>
      <w:b/>
      <w:bCs/>
      <w:color w:val="000000"/>
    </w:rPr>
  </w:style>
  <w:style w:type="paragraph" w:styleId="NormalWeb">
    <w:name w:val="Normal (Web)"/>
    <w:basedOn w:val="Normal"/>
    <w:uiPriority w:val="99"/>
    <w:semiHidden/>
    <w:unhideWhenUsed/>
    <w:rsid w:val="00216279"/>
    <w:pPr>
      <w:spacing w:before="100" w:beforeAutospacing="1" w:after="100" w:afterAutospacing="1"/>
    </w:pPr>
    <w:rPr>
      <w:rFonts w:ascii="Times New Roman" w:eastAsiaTheme="minorEastAsia"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4335">
      <w:bodyDiv w:val="1"/>
      <w:marLeft w:val="0"/>
      <w:marRight w:val="0"/>
      <w:marTop w:val="0"/>
      <w:marBottom w:val="0"/>
      <w:divBdr>
        <w:top w:val="none" w:sz="0" w:space="0" w:color="auto"/>
        <w:left w:val="none" w:sz="0" w:space="0" w:color="auto"/>
        <w:bottom w:val="none" w:sz="0" w:space="0" w:color="auto"/>
        <w:right w:val="none" w:sz="0" w:space="0" w:color="auto"/>
      </w:divBdr>
    </w:div>
    <w:div w:id="91974318">
      <w:bodyDiv w:val="1"/>
      <w:marLeft w:val="0"/>
      <w:marRight w:val="0"/>
      <w:marTop w:val="0"/>
      <w:marBottom w:val="0"/>
      <w:divBdr>
        <w:top w:val="none" w:sz="0" w:space="0" w:color="auto"/>
        <w:left w:val="none" w:sz="0" w:space="0" w:color="auto"/>
        <w:bottom w:val="none" w:sz="0" w:space="0" w:color="auto"/>
        <w:right w:val="none" w:sz="0" w:space="0" w:color="auto"/>
      </w:divBdr>
    </w:div>
    <w:div w:id="99495516">
      <w:bodyDiv w:val="1"/>
      <w:marLeft w:val="0"/>
      <w:marRight w:val="0"/>
      <w:marTop w:val="0"/>
      <w:marBottom w:val="0"/>
      <w:divBdr>
        <w:top w:val="none" w:sz="0" w:space="0" w:color="auto"/>
        <w:left w:val="none" w:sz="0" w:space="0" w:color="auto"/>
        <w:bottom w:val="none" w:sz="0" w:space="0" w:color="auto"/>
        <w:right w:val="none" w:sz="0" w:space="0" w:color="auto"/>
      </w:divBdr>
    </w:div>
    <w:div w:id="155151557">
      <w:bodyDiv w:val="1"/>
      <w:marLeft w:val="0"/>
      <w:marRight w:val="0"/>
      <w:marTop w:val="0"/>
      <w:marBottom w:val="0"/>
      <w:divBdr>
        <w:top w:val="none" w:sz="0" w:space="0" w:color="auto"/>
        <w:left w:val="none" w:sz="0" w:space="0" w:color="auto"/>
        <w:bottom w:val="none" w:sz="0" w:space="0" w:color="auto"/>
        <w:right w:val="none" w:sz="0" w:space="0" w:color="auto"/>
      </w:divBdr>
    </w:div>
    <w:div w:id="159010243">
      <w:bodyDiv w:val="1"/>
      <w:marLeft w:val="0"/>
      <w:marRight w:val="0"/>
      <w:marTop w:val="0"/>
      <w:marBottom w:val="0"/>
      <w:divBdr>
        <w:top w:val="none" w:sz="0" w:space="0" w:color="auto"/>
        <w:left w:val="none" w:sz="0" w:space="0" w:color="auto"/>
        <w:bottom w:val="none" w:sz="0" w:space="0" w:color="auto"/>
        <w:right w:val="none" w:sz="0" w:space="0" w:color="auto"/>
      </w:divBdr>
    </w:div>
    <w:div w:id="231504092">
      <w:bodyDiv w:val="1"/>
      <w:marLeft w:val="0"/>
      <w:marRight w:val="0"/>
      <w:marTop w:val="0"/>
      <w:marBottom w:val="0"/>
      <w:divBdr>
        <w:top w:val="none" w:sz="0" w:space="0" w:color="auto"/>
        <w:left w:val="none" w:sz="0" w:space="0" w:color="auto"/>
        <w:bottom w:val="none" w:sz="0" w:space="0" w:color="auto"/>
        <w:right w:val="none" w:sz="0" w:space="0" w:color="auto"/>
      </w:divBdr>
    </w:div>
    <w:div w:id="314260273">
      <w:bodyDiv w:val="1"/>
      <w:marLeft w:val="0"/>
      <w:marRight w:val="0"/>
      <w:marTop w:val="0"/>
      <w:marBottom w:val="0"/>
      <w:divBdr>
        <w:top w:val="none" w:sz="0" w:space="0" w:color="auto"/>
        <w:left w:val="none" w:sz="0" w:space="0" w:color="auto"/>
        <w:bottom w:val="none" w:sz="0" w:space="0" w:color="auto"/>
        <w:right w:val="none" w:sz="0" w:space="0" w:color="auto"/>
      </w:divBdr>
    </w:div>
    <w:div w:id="338510254">
      <w:bodyDiv w:val="1"/>
      <w:marLeft w:val="0"/>
      <w:marRight w:val="0"/>
      <w:marTop w:val="0"/>
      <w:marBottom w:val="0"/>
      <w:divBdr>
        <w:top w:val="none" w:sz="0" w:space="0" w:color="auto"/>
        <w:left w:val="none" w:sz="0" w:space="0" w:color="auto"/>
        <w:bottom w:val="none" w:sz="0" w:space="0" w:color="auto"/>
        <w:right w:val="none" w:sz="0" w:space="0" w:color="auto"/>
      </w:divBdr>
    </w:div>
    <w:div w:id="340355915">
      <w:bodyDiv w:val="1"/>
      <w:marLeft w:val="0"/>
      <w:marRight w:val="0"/>
      <w:marTop w:val="0"/>
      <w:marBottom w:val="0"/>
      <w:divBdr>
        <w:top w:val="none" w:sz="0" w:space="0" w:color="auto"/>
        <w:left w:val="none" w:sz="0" w:space="0" w:color="auto"/>
        <w:bottom w:val="none" w:sz="0" w:space="0" w:color="auto"/>
        <w:right w:val="none" w:sz="0" w:space="0" w:color="auto"/>
      </w:divBdr>
    </w:div>
    <w:div w:id="380330264">
      <w:bodyDiv w:val="1"/>
      <w:marLeft w:val="0"/>
      <w:marRight w:val="0"/>
      <w:marTop w:val="0"/>
      <w:marBottom w:val="0"/>
      <w:divBdr>
        <w:top w:val="none" w:sz="0" w:space="0" w:color="auto"/>
        <w:left w:val="none" w:sz="0" w:space="0" w:color="auto"/>
        <w:bottom w:val="none" w:sz="0" w:space="0" w:color="auto"/>
        <w:right w:val="none" w:sz="0" w:space="0" w:color="auto"/>
      </w:divBdr>
    </w:div>
    <w:div w:id="381370772">
      <w:bodyDiv w:val="1"/>
      <w:marLeft w:val="0"/>
      <w:marRight w:val="0"/>
      <w:marTop w:val="0"/>
      <w:marBottom w:val="0"/>
      <w:divBdr>
        <w:top w:val="none" w:sz="0" w:space="0" w:color="auto"/>
        <w:left w:val="none" w:sz="0" w:space="0" w:color="auto"/>
        <w:bottom w:val="none" w:sz="0" w:space="0" w:color="auto"/>
        <w:right w:val="none" w:sz="0" w:space="0" w:color="auto"/>
      </w:divBdr>
    </w:div>
    <w:div w:id="383527861">
      <w:bodyDiv w:val="1"/>
      <w:marLeft w:val="0"/>
      <w:marRight w:val="0"/>
      <w:marTop w:val="0"/>
      <w:marBottom w:val="0"/>
      <w:divBdr>
        <w:top w:val="none" w:sz="0" w:space="0" w:color="auto"/>
        <w:left w:val="none" w:sz="0" w:space="0" w:color="auto"/>
        <w:bottom w:val="none" w:sz="0" w:space="0" w:color="auto"/>
        <w:right w:val="none" w:sz="0" w:space="0" w:color="auto"/>
      </w:divBdr>
    </w:div>
    <w:div w:id="398287869">
      <w:bodyDiv w:val="1"/>
      <w:marLeft w:val="0"/>
      <w:marRight w:val="0"/>
      <w:marTop w:val="0"/>
      <w:marBottom w:val="0"/>
      <w:divBdr>
        <w:top w:val="none" w:sz="0" w:space="0" w:color="auto"/>
        <w:left w:val="none" w:sz="0" w:space="0" w:color="auto"/>
        <w:bottom w:val="none" w:sz="0" w:space="0" w:color="auto"/>
        <w:right w:val="none" w:sz="0" w:space="0" w:color="auto"/>
      </w:divBdr>
    </w:div>
    <w:div w:id="418406935">
      <w:bodyDiv w:val="1"/>
      <w:marLeft w:val="0"/>
      <w:marRight w:val="0"/>
      <w:marTop w:val="0"/>
      <w:marBottom w:val="0"/>
      <w:divBdr>
        <w:top w:val="none" w:sz="0" w:space="0" w:color="auto"/>
        <w:left w:val="none" w:sz="0" w:space="0" w:color="auto"/>
        <w:bottom w:val="none" w:sz="0" w:space="0" w:color="auto"/>
        <w:right w:val="none" w:sz="0" w:space="0" w:color="auto"/>
      </w:divBdr>
    </w:div>
    <w:div w:id="442502354">
      <w:bodyDiv w:val="1"/>
      <w:marLeft w:val="0"/>
      <w:marRight w:val="0"/>
      <w:marTop w:val="0"/>
      <w:marBottom w:val="0"/>
      <w:divBdr>
        <w:top w:val="none" w:sz="0" w:space="0" w:color="auto"/>
        <w:left w:val="none" w:sz="0" w:space="0" w:color="auto"/>
        <w:bottom w:val="none" w:sz="0" w:space="0" w:color="auto"/>
        <w:right w:val="none" w:sz="0" w:space="0" w:color="auto"/>
      </w:divBdr>
    </w:div>
    <w:div w:id="470294792">
      <w:bodyDiv w:val="1"/>
      <w:marLeft w:val="0"/>
      <w:marRight w:val="0"/>
      <w:marTop w:val="0"/>
      <w:marBottom w:val="0"/>
      <w:divBdr>
        <w:top w:val="none" w:sz="0" w:space="0" w:color="auto"/>
        <w:left w:val="none" w:sz="0" w:space="0" w:color="auto"/>
        <w:bottom w:val="none" w:sz="0" w:space="0" w:color="auto"/>
        <w:right w:val="none" w:sz="0" w:space="0" w:color="auto"/>
      </w:divBdr>
    </w:div>
    <w:div w:id="496195601">
      <w:bodyDiv w:val="1"/>
      <w:marLeft w:val="0"/>
      <w:marRight w:val="0"/>
      <w:marTop w:val="0"/>
      <w:marBottom w:val="0"/>
      <w:divBdr>
        <w:top w:val="none" w:sz="0" w:space="0" w:color="auto"/>
        <w:left w:val="none" w:sz="0" w:space="0" w:color="auto"/>
        <w:bottom w:val="none" w:sz="0" w:space="0" w:color="auto"/>
        <w:right w:val="none" w:sz="0" w:space="0" w:color="auto"/>
      </w:divBdr>
    </w:div>
    <w:div w:id="535386187">
      <w:bodyDiv w:val="1"/>
      <w:marLeft w:val="0"/>
      <w:marRight w:val="0"/>
      <w:marTop w:val="0"/>
      <w:marBottom w:val="0"/>
      <w:divBdr>
        <w:top w:val="none" w:sz="0" w:space="0" w:color="auto"/>
        <w:left w:val="none" w:sz="0" w:space="0" w:color="auto"/>
        <w:bottom w:val="none" w:sz="0" w:space="0" w:color="auto"/>
        <w:right w:val="none" w:sz="0" w:space="0" w:color="auto"/>
      </w:divBdr>
    </w:div>
    <w:div w:id="600451997">
      <w:bodyDiv w:val="1"/>
      <w:marLeft w:val="0"/>
      <w:marRight w:val="0"/>
      <w:marTop w:val="0"/>
      <w:marBottom w:val="0"/>
      <w:divBdr>
        <w:top w:val="none" w:sz="0" w:space="0" w:color="auto"/>
        <w:left w:val="none" w:sz="0" w:space="0" w:color="auto"/>
        <w:bottom w:val="none" w:sz="0" w:space="0" w:color="auto"/>
        <w:right w:val="none" w:sz="0" w:space="0" w:color="auto"/>
      </w:divBdr>
    </w:div>
    <w:div w:id="630286555">
      <w:bodyDiv w:val="1"/>
      <w:marLeft w:val="0"/>
      <w:marRight w:val="0"/>
      <w:marTop w:val="0"/>
      <w:marBottom w:val="0"/>
      <w:divBdr>
        <w:top w:val="none" w:sz="0" w:space="0" w:color="auto"/>
        <w:left w:val="none" w:sz="0" w:space="0" w:color="auto"/>
        <w:bottom w:val="none" w:sz="0" w:space="0" w:color="auto"/>
        <w:right w:val="none" w:sz="0" w:space="0" w:color="auto"/>
      </w:divBdr>
    </w:div>
    <w:div w:id="694158976">
      <w:bodyDiv w:val="1"/>
      <w:marLeft w:val="0"/>
      <w:marRight w:val="0"/>
      <w:marTop w:val="0"/>
      <w:marBottom w:val="0"/>
      <w:divBdr>
        <w:top w:val="none" w:sz="0" w:space="0" w:color="auto"/>
        <w:left w:val="none" w:sz="0" w:space="0" w:color="auto"/>
        <w:bottom w:val="none" w:sz="0" w:space="0" w:color="auto"/>
        <w:right w:val="none" w:sz="0" w:space="0" w:color="auto"/>
      </w:divBdr>
    </w:div>
    <w:div w:id="743797005">
      <w:bodyDiv w:val="1"/>
      <w:marLeft w:val="0"/>
      <w:marRight w:val="0"/>
      <w:marTop w:val="0"/>
      <w:marBottom w:val="0"/>
      <w:divBdr>
        <w:top w:val="none" w:sz="0" w:space="0" w:color="auto"/>
        <w:left w:val="none" w:sz="0" w:space="0" w:color="auto"/>
        <w:bottom w:val="none" w:sz="0" w:space="0" w:color="auto"/>
        <w:right w:val="none" w:sz="0" w:space="0" w:color="auto"/>
      </w:divBdr>
    </w:div>
    <w:div w:id="776799771">
      <w:bodyDiv w:val="1"/>
      <w:marLeft w:val="0"/>
      <w:marRight w:val="0"/>
      <w:marTop w:val="0"/>
      <w:marBottom w:val="0"/>
      <w:divBdr>
        <w:top w:val="none" w:sz="0" w:space="0" w:color="auto"/>
        <w:left w:val="none" w:sz="0" w:space="0" w:color="auto"/>
        <w:bottom w:val="none" w:sz="0" w:space="0" w:color="auto"/>
        <w:right w:val="none" w:sz="0" w:space="0" w:color="auto"/>
      </w:divBdr>
    </w:div>
    <w:div w:id="824127657">
      <w:bodyDiv w:val="1"/>
      <w:marLeft w:val="0"/>
      <w:marRight w:val="0"/>
      <w:marTop w:val="0"/>
      <w:marBottom w:val="0"/>
      <w:divBdr>
        <w:top w:val="none" w:sz="0" w:space="0" w:color="auto"/>
        <w:left w:val="none" w:sz="0" w:space="0" w:color="auto"/>
        <w:bottom w:val="none" w:sz="0" w:space="0" w:color="auto"/>
        <w:right w:val="none" w:sz="0" w:space="0" w:color="auto"/>
      </w:divBdr>
    </w:div>
    <w:div w:id="841314380">
      <w:bodyDiv w:val="1"/>
      <w:marLeft w:val="0"/>
      <w:marRight w:val="0"/>
      <w:marTop w:val="0"/>
      <w:marBottom w:val="0"/>
      <w:divBdr>
        <w:top w:val="none" w:sz="0" w:space="0" w:color="auto"/>
        <w:left w:val="none" w:sz="0" w:space="0" w:color="auto"/>
        <w:bottom w:val="none" w:sz="0" w:space="0" w:color="auto"/>
        <w:right w:val="none" w:sz="0" w:space="0" w:color="auto"/>
      </w:divBdr>
    </w:div>
    <w:div w:id="853106138">
      <w:bodyDiv w:val="1"/>
      <w:marLeft w:val="0"/>
      <w:marRight w:val="0"/>
      <w:marTop w:val="0"/>
      <w:marBottom w:val="0"/>
      <w:divBdr>
        <w:top w:val="none" w:sz="0" w:space="0" w:color="auto"/>
        <w:left w:val="none" w:sz="0" w:space="0" w:color="auto"/>
        <w:bottom w:val="none" w:sz="0" w:space="0" w:color="auto"/>
        <w:right w:val="none" w:sz="0" w:space="0" w:color="auto"/>
      </w:divBdr>
    </w:div>
    <w:div w:id="886842641">
      <w:bodyDiv w:val="1"/>
      <w:marLeft w:val="0"/>
      <w:marRight w:val="0"/>
      <w:marTop w:val="0"/>
      <w:marBottom w:val="0"/>
      <w:divBdr>
        <w:top w:val="none" w:sz="0" w:space="0" w:color="auto"/>
        <w:left w:val="none" w:sz="0" w:space="0" w:color="auto"/>
        <w:bottom w:val="none" w:sz="0" w:space="0" w:color="auto"/>
        <w:right w:val="none" w:sz="0" w:space="0" w:color="auto"/>
      </w:divBdr>
    </w:div>
    <w:div w:id="936444346">
      <w:bodyDiv w:val="1"/>
      <w:marLeft w:val="0"/>
      <w:marRight w:val="0"/>
      <w:marTop w:val="0"/>
      <w:marBottom w:val="0"/>
      <w:divBdr>
        <w:top w:val="none" w:sz="0" w:space="0" w:color="auto"/>
        <w:left w:val="none" w:sz="0" w:space="0" w:color="auto"/>
        <w:bottom w:val="none" w:sz="0" w:space="0" w:color="auto"/>
        <w:right w:val="none" w:sz="0" w:space="0" w:color="auto"/>
      </w:divBdr>
    </w:div>
    <w:div w:id="979114883">
      <w:bodyDiv w:val="1"/>
      <w:marLeft w:val="0"/>
      <w:marRight w:val="0"/>
      <w:marTop w:val="0"/>
      <w:marBottom w:val="0"/>
      <w:divBdr>
        <w:top w:val="none" w:sz="0" w:space="0" w:color="auto"/>
        <w:left w:val="none" w:sz="0" w:space="0" w:color="auto"/>
        <w:bottom w:val="none" w:sz="0" w:space="0" w:color="auto"/>
        <w:right w:val="none" w:sz="0" w:space="0" w:color="auto"/>
      </w:divBdr>
    </w:div>
    <w:div w:id="1019770316">
      <w:bodyDiv w:val="1"/>
      <w:marLeft w:val="0"/>
      <w:marRight w:val="0"/>
      <w:marTop w:val="0"/>
      <w:marBottom w:val="0"/>
      <w:divBdr>
        <w:top w:val="none" w:sz="0" w:space="0" w:color="auto"/>
        <w:left w:val="none" w:sz="0" w:space="0" w:color="auto"/>
        <w:bottom w:val="none" w:sz="0" w:space="0" w:color="auto"/>
        <w:right w:val="none" w:sz="0" w:space="0" w:color="auto"/>
      </w:divBdr>
    </w:div>
    <w:div w:id="1026102065">
      <w:bodyDiv w:val="1"/>
      <w:marLeft w:val="0"/>
      <w:marRight w:val="0"/>
      <w:marTop w:val="0"/>
      <w:marBottom w:val="0"/>
      <w:divBdr>
        <w:top w:val="none" w:sz="0" w:space="0" w:color="auto"/>
        <w:left w:val="none" w:sz="0" w:space="0" w:color="auto"/>
        <w:bottom w:val="none" w:sz="0" w:space="0" w:color="auto"/>
        <w:right w:val="none" w:sz="0" w:space="0" w:color="auto"/>
      </w:divBdr>
    </w:div>
    <w:div w:id="1038890324">
      <w:bodyDiv w:val="1"/>
      <w:marLeft w:val="0"/>
      <w:marRight w:val="0"/>
      <w:marTop w:val="0"/>
      <w:marBottom w:val="0"/>
      <w:divBdr>
        <w:top w:val="none" w:sz="0" w:space="0" w:color="auto"/>
        <w:left w:val="none" w:sz="0" w:space="0" w:color="auto"/>
        <w:bottom w:val="none" w:sz="0" w:space="0" w:color="auto"/>
        <w:right w:val="none" w:sz="0" w:space="0" w:color="auto"/>
      </w:divBdr>
    </w:div>
    <w:div w:id="1052000197">
      <w:bodyDiv w:val="1"/>
      <w:marLeft w:val="0"/>
      <w:marRight w:val="0"/>
      <w:marTop w:val="0"/>
      <w:marBottom w:val="0"/>
      <w:divBdr>
        <w:top w:val="none" w:sz="0" w:space="0" w:color="auto"/>
        <w:left w:val="none" w:sz="0" w:space="0" w:color="auto"/>
        <w:bottom w:val="none" w:sz="0" w:space="0" w:color="auto"/>
        <w:right w:val="none" w:sz="0" w:space="0" w:color="auto"/>
      </w:divBdr>
    </w:div>
    <w:div w:id="1061441381">
      <w:bodyDiv w:val="1"/>
      <w:marLeft w:val="0"/>
      <w:marRight w:val="0"/>
      <w:marTop w:val="0"/>
      <w:marBottom w:val="0"/>
      <w:divBdr>
        <w:top w:val="none" w:sz="0" w:space="0" w:color="auto"/>
        <w:left w:val="none" w:sz="0" w:space="0" w:color="auto"/>
        <w:bottom w:val="none" w:sz="0" w:space="0" w:color="auto"/>
        <w:right w:val="none" w:sz="0" w:space="0" w:color="auto"/>
      </w:divBdr>
    </w:div>
    <w:div w:id="1073283553">
      <w:bodyDiv w:val="1"/>
      <w:marLeft w:val="0"/>
      <w:marRight w:val="0"/>
      <w:marTop w:val="0"/>
      <w:marBottom w:val="0"/>
      <w:divBdr>
        <w:top w:val="none" w:sz="0" w:space="0" w:color="auto"/>
        <w:left w:val="none" w:sz="0" w:space="0" w:color="auto"/>
        <w:bottom w:val="none" w:sz="0" w:space="0" w:color="auto"/>
        <w:right w:val="none" w:sz="0" w:space="0" w:color="auto"/>
      </w:divBdr>
    </w:div>
    <w:div w:id="1147361691">
      <w:bodyDiv w:val="1"/>
      <w:marLeft w:val="0"/>
      <w:marRight w:val="0"/>
      <w:marTop w:val="0"/>
      <w:marBottom w:val="0"/>
      <w:divBdr>
        <w:top w:val="none" w:sz="0" w:space="0" w:color="auto"/>
        <w:left w:val="none" w:sz="0" w:space="0" w:color="auto"/>
        <w:bottom w:val="none" w:sz="0" w:space="0" w:color="auto"/>
        <w:right w:val="none" w:sz="0" w:space="0" w:color="auto"/>
      </w:divBdr>
    </w:div>
    <w:div w:id="1195658111">
      <w:bodyDiv w:val="1"/>
      <w:marLeft w:val="0"/>
      <w:marRight w:val="0"/>
      <w:marTop w:val="0"/>
      <w:marBottom w:val="0"/>
      <w:divBdr>
        <w:top w:val="none" w:sz="0" w:space="0" w:color="auto"/>
        <w:left w:val="none" w:sz="0" w:space="0" w:color="auto"/>
        <w:bottom w:val="none" w:sz="0" w:space="0" w:color="auto"/>
        <w:right w:val="none" w:sz="0" w:space="0" w:color="auto"/>
      </w:divBdr>
    </w:div>
    <w:div w:id="1202212237">
      <w:bodyDiv w:val="1"/>
      <w:marLeft w:val="0"/>
      <w:marRight w:val="0"/>
      <w:marTop w:val="0"/>
      <w:marBottom w:val="0"/>
      <w:divBdr>
        <w:top w:val="none" w:sz="0" w:space="0" w:color="auto"/>
        <w:left w:val="none" w:sz="0" w:space="0" w:color="auto"/>
        <w:bottom w:val="none" w:sz="0" w:space="0" w:color="auto"/>
        <w:right w:val="none" w:sz="0" w:space="0" w:color="auto"/>
      </w:divBdr>
    </w:div>
    <w:div w:id="1293055128">
      <w:bodyDiv w:val="1"/>
      <w:marLeft w:val="0"/>
      <w:marRight w:val="0"/>
      <w:marTop w:val="0"/>
      <w:marBottom w:val="0"/>
      <w:divBdr>
        <w:top w:val="none" w:sz="0" w:space="0" w:color="auto"/>
        <w:left w:val="none" w:sz="0" w:space="0" w:color="auto"/>
        <w:bottom w:val="none" w:sz="0" w:space="0" w:color="auto"/>
        <w:right w:val="none" w:sz="0" w:space="0" w:color="auto"/>
      </w:divBdr>
    </w:div>
    <w:div w:id="1319000554">
      <w:bodyDiv w:val="1"/>
      <w:marLeft w:val="0"/>
      <w:marRight w:val="0"/>
      <w:marTop w:val="0"/>
      <w:marBottom w:val="0"/>
      <w:divBdr>
        <w:top w:val="none" w:sz="0" w:space="0" w:color="auto"/>
        <w:left w:val="none" w:sz="0" w:space="0" w:color="auto"/>
        <w:bottom w:val="none" w:sz="0" w:space="0" w:color="auto"/>
        <w:right w:val="none" w:sz="0" w:space="0" w:color="auto"/>
      </w:divBdr>
    </w:div>
    <w:div w:id="1331639817">
      <w:bodyDiv w:val="1"/>
      <w:marLeft w:val="0"/>
      <w:marRight w:val="0"/>
      <w:marTop w:val="0"/>
      <w:marBottom w:val="0"/>
      <w:divBdr>
        <w:top w:val="none" w:sz="0" w:space="0" w:color="auto"/>
        <w:left w:val="none" w:sz="0" w:space="0" w:color="auto"/>
        <w:bottom w:val="none" w:sz="0" w:space="0" w:color="auto"/>
        <w:right w:val="none" w:sz="0" w:space="0" w:color="auto"/>
      </w:divBdr>
    </w:div>
    <w:div w:id="1357268900">
      <w:bodyDiv w:val="1"/>
      <w:marLeft w:val="0"/>
      <w:marRight w:val="0"/>
      <w:marTop w:val="0"/>
      <w:marBottom w:val="0"/>
      <w:divBdr>
        <w:top w:val="none" w:sz="0" w:space="0" w:color="auto"/>
        <w:left w:val="none" w:sz="0" w:space="0" w:color="auto"/>
        <w:bottom w:val="none" w:sz="0" w:space="0" w:color="auto"/>
        <w:right w:val="none" w:sz="0" w:space="0" w:color="auto"/>
      </w:divBdr>
    </w:div>
    <w:div w:id="1371413321">
      <w:bodyDiv w:val="1"/>
      <w:marLeft w:val="0"/>
      <w:marRight w:val="0"/>
      <w:marTop w:val="0"/>
      <w:marBottom w:val="0"/>
      <w:divBdr>
        <w:top w:val="none" w:sz="0" w:space="0" w:color="auto"/>
        <w:left w:val="none" w:sz="0" w:space="0" w:color="auto"/>
        <w:bottom w:val="none" w:sz="0" w:space="0" w:color="auto"/>
        <w:right w:val="none" w:sz="0" w:space="0" w:color="auto"/>
      </w:divBdr>
    </w:div>
    <w:div w:id="1392315825">
      <w:bodyDiv w:val="1"/>
      <w:marLeft w:val="0"/>
      <w:marRight w:val="0"/>
      <w:marTop w:val="0"/>
      <w:marBottom w:val="0"/>
      <w:divBdr>
        <w:top w:val="none" w:sz="0" w:space="0" w:color="auto"/>
        <w:left w:val="none" w:sz="0" w:space="0" w:color="auto"/>
        <w:bottom w:val="none" w:sz="0" w:space="0" w:color="auto"/>
        <w:right w:val="none" w:sz="0" w:space="0" w:color="auto"/>
      </w:divBdr>
    </w:div>
    <w:div w:id="1426808601">
      <w:bodyDiv w:val="1"/>
      <w:marLeft w:val="0"/>
      <w:marRight w:val="0"/>
      <w:marTop w:val="0"/>
      <w:marBottom w:val="0"/>
      <w:divBdr>
        <w:top w:val="none" w:sz="0" w:space="0" w:color="auto"/>
        <w:left w:val="none" w:sz="0" w:space="0" w:color="auto"/>
        <w:bottom w:val="none" w:sz="0" w:space="0" w:color="auto"/>
        <w:right w:val="none" w:sz="0" w:space="0" w:color="auto"/>
      </w:divBdr>
    </w:div>
    <w:div w:id="1458984570">
      <w:bodyDiv w:val="1"/>
      <w:marLeft w:val="0"/>
      <w:marRight w:val="0"/>
      <w:marTop w:val="0"/>
      <w:marBottom w:val="0"/>
      <w:divBdr>
        <w:top w:val="none" w:sz="0" w:space="0" w:color="auto"/>
        <w:left w:val="none" w:sz="0" w:space="0" w:color="auto"/>
        <w:bottom w:val="none" w:sz="0" w:space="0" w:color="auto"/>
        <w:right w:val="none" w:sz="0" w:space="0" w:color="auto"/>
      </w:divBdr>
    </w:div>
    <w:div w:id="1485782654">
      <w:bodyDiv w:val="1"/>
      <w:marLeft w:val="0"/>
      <w:marRight w:val="0"/>
      <w:marTop w:val="0"/>
      <w:marBottom w:val="0"/>
      <w:divBdr>
        <w:top w:val="none" w:sz="0" w:space="0" w:color="auto"/>
        <w:left w:val="none" w:sz="0" w:space="0" w:color="auto"/>
        <w:bottom w:val="none" w:sz="0" w:space="0" w:color="auto"/>
        <w:right w:val="none" w:sz="0" w:space="0" w:color="auto"/>
      </w:divBdr>
    </w:div>
    <w:div w:id="1554584181">
      <w:bodyDiv w:val="1"/>
      <w:marLeft w:val="0"/>
      <w:marRight w:val="0"/>
      <w:marTop w:val="0"/>
      <w:marBottom w:val="0"/>
      <w:divBdr>
        <w:top w:val="none" w:sz="0" w:space="0" w:color="auto"/>
        <w:left w:val="none" w:sz="0" w:space="0" w:color="auto"/>
        <w:bottom w:val="none" w:sz="0" w:space="0" w:color="auto"/>
        <w:right w:val="none" w:sz="0" w:space="0" w:color="auto"/>
      </w:divBdr>
    </w:div>
    <w:div w:id="1629580206">
      <w:bodyDiv w:val="1"/>
      <w:marLeft w:val="0"/>
      <w:marRight w:val="0"/>
      <w:marTop w:val="0"/>
      <w:marBottom w:val="0"/>
      <w:divBdr>
        <w:top w:val="none" w:sz="0" w:space="0" w:color="auto"/>
        <w:left w:val="none" w:sz="0" w:space="0" w:color="auto"/>
        <w:bottom w:val="none" w:sz="0" w:space="0" w:color="auto"/>
        <w:right w:val="none" w:sz="0" w:space="0" w:color="auto"/>
      </w:divBdr>
    </w:div>
    <w:div w:id="1695573187">
      <w:bodyDiv w:val="1"/>
      <w:marLeft w:val="0"/>
      <w:marRight w:val="0"/>
      <w:marTop w:val="0"/>
      <w:marBottom w:val="0"/>
      <w:divBdr>
        <w:top w:val="none" w:sz="0" w:space="0" w:color="auto"/>
        <w:left w:val="none" w:sz="0" w:space="0" w:color="auto"/>
        <w:bottom w:val="none" w:sz="0" w:space="0" w:color="auto"/>
        <w:right w:val="none" w:sz="0" w:space="0" w:color="auto"/>
      </w:divBdr>
    </w:div>
    <w:div w:id="1699890872">
      <w:bodyDiv w:val="1"/>
      <w:marLeft w:val="0"/>
      <w:marRight w:val="0"/>
      <w:marTop w:val="0"/>
      <w:marBottom w:val="0"/>
      <w:divBdr>
        <w:top w:val="none" w:sz="0" w:space="0" w:color="auto"/>
        <w:left w:val="none" w:sz="0" w:space="0" w:color="auto"/>
        <w:bottom w:val="none" w:sz="0" w:space="0" w:color="auto"/>
        <w:right w:val="none" w:sz="0" w:space="0" w:color="auto"/>
      </w:divBdr>
    </w:div>
    <w:div w:id="1719747201">
      <w:bodyDiv w:val="1"/>
      <w:marLeft w:val="0"/>
      <w:marRight w:val="0"/>
      <w:marTop w:val="0"/>
      <w:marBottom w:val="0"/>
      <w:divBdr>
        <w:top w:val="none" w:sz="0" w:space="0" w:color="auto"/>
        <w:left w:val="none" w:sz="0" w:space="0" w:color="auto"/>
        <w:bottom w:val="none" w:sz="0" w:space="0" w:color="auto"/>
        <w:right w:val="none" w:sz="0" w:space="0" w:color="auto"/>
      </w:divBdr>
    </w:div>
    <w:div w:id="1738624768">
      <w:bodyDiv w:val="1"/>
      <w:marLeft w:val="0"/>
      <w:marRight w:val="0"/>
      <w:marTop w:val="0"/>
      <w:marBottom w:val="0"/>
      <w:divBdr>
        <w:top w:val="none" w:sz="0" w:space="0" w:color="auto"/>
        <w:left w:val="none" w:sz="0" w:space="0" w:color="auto"/>
        <w:bottom w:val="none" w:sz="0" w:space="0" w:color="auto"/>
        <w:right w:val="none" w:sz="0" w:space="0" w:color="auto"/>
      </w:divBdr>
    </w:div>
    <w:div w:id="1743986695">
      <w:bodyDiv w:val="1"/>
      <w:marLeft w:val="0"/>
      <w:marRight w:val="0"/>
      <w:marTop w:val="0"/>
      <w:marBottom w:val="0"/>
      <w:divBdr>
        <w:top w:val="none" w:sz="0" w:space="0" w:color="auto"/>
        <w:left w:val="none" w:sz="0" w:space="0" w:color="auto"/>
        <w:bottom w:val="none" w:sz="0" w:space="0" w:color="auto"/>
        <w:right w:val="none" w:sz="0" w:space="0" w:color="auto"/>
      </w:divBdr>
    </w:div>
    <w:div w:id="1776558204">
      <w:bodyDiv w:val="1"/>
      <w:marLeft w:val="0"/>
      <w:marRight w:val="0"/>
      <w:marTop w:val="0"/>
      <w:marBottom w:val="0"/>
      <w:divBdr>
        <w:top w:val="none" w:sz="0" w:space="0" w:color="auto"/>
        <w:left w:val="none" w:sz="0" w:space="0" w:color="auto"/>
        <w:bottom w:val="none" w:sz="0" w:space="0" w:color="auto"/>
        <w:right w:val="none" w:sz="0" w:space="0" w:color="auto"/>
      </w:divBdr>
    </w:div>
    <w:div w:id="1784032377">
      <w:bodyDiv w:val="1"/>
      <w:marLeft w:val="0"/>
      <w:marRight w:val="0"/>
      <w:marTop w:val="0"/>
      <w:marBottom w:val="0"/>
      <w:divBdr>
        <w:top w:val="none" w:sz="0" w:space="0" w:color="auto"/>
        <w:left w:val="none" w:sz="0" w:space="0" w:color="auto"/>
        <w:bottom w:val="none" w:sz="0" w:space="0" w:color="auto"/>
        <w:right w:val="none" w:sz="0" w:space="0" w:color="auto"/>
      </w:divBdr>
    </w:div>
    <w:div w:id="1830052894">
      <w:bodyDiv w:val="1"/>
      <w:marLeft w:val="0"/>
      <w:marRight w:val="0"/>
      <w:marTop w:val="0"/>
      <w:marBottom w:val="0"/>
      <w:divBdr>
        <w:top w:val="none" w:sz="0" w:space="0" w:color="auto"/>
        <w:left w:val="none" w:sz="0" w:space="0" w:color="auto"/>
        <w:bottom w:val="none" w:sz="0" w:space="0" w:color="auto"/>
        <w:right w:val="none" w:sz="0" w:space="0" w:color="auto"/>
      </w:divBdr>
    </w:div>
    <w:div w:id="1848976541">
      <w:bodyDiv w:val="1"/>
      <w:marLeft w:val="0"/>
      <w:marRight w:val="0"/>
      <w:marTop w:val="0"/>
      <w:marBottom w:val="0"/>
      <w:divBdr>
        <w:top w:val="none" w:sz="0" w:space="0" w:color="auto"/>
        <w:left w:val="none" w:sz="0" w:space="0" w:color="auto"/>
        <w:bottom w:val="none" w:sz="0" w:space="0" w:color="auto"/>
        <w:right w:val="none" w:sz="0" w:space="0" w:color="auto"/>
      </w:divBdr>
    </w:div>
    <w:div w:id="1855999714">
      <w:bodyDiv w:val="1"/>
      <w:marLeft w:val="0"/>
      <w:marRight w:val="0"/>
      <w:marTop w:val="0"/>
      <w:marBottom w:val="0"/>
      <w:divBdr>
        <w:top w:val="none" w:sz="0" w:space="0" w:color="auto"/>
        <w:left w:val="none" w:sz="0" w:space="0" w:color="auto"/>
        <w:bottom w:val="none" w:sz="0" w:space="0" w:color="auto"/>
        <w:right w:val="none" w:sz="0" w:space="0" w:color="auto"/>
      </w:divBdr>
    </w:div>
    <w:div w:id="1878883099">
      <w:bodyDiv w:val="1"/>
      <w:marLeft w:val="0"/>
      <w:marRight w:val="0"/>
      <w:marTop w:val="0"/>
      <w:marBottom w:val="0"/>
      <w:divBdr>
        <w:top w:val="none" w:sz="0" w:space="0" w:color="auto"/>
        <w:left w:val="none" w:sz="0" w:space="0" w:color="auto"/>
        <w:bottom w:val="none" w:sz="0" w:space="0" w:color="auto"/>
        <w:right w:val="none" w:sz="0" w:space="0" w:color="auto"/>
      </w:divBdr>
    </w:div>
    <w:div w:id="1882857912">
      <w:bodyDiv w:val="1"/>
      <w:marLeft w:val="0"/>
      <w:marRight w:val="0"/>
      <w:marTop w:val="0"/>
      <w:marBottom w:val="0"/>
      <w:divBdr>
        <w:top w:val="none" w:sz="0" w:space="0" w:color="auto"/>
        <w:left w:val="none" w:sz="0" w:space="0" w:color="auto"/>
        <w:bottom w:val="none" w:sz="0" w:space="0" w:color="auto"/>
        <w:right w:val="none" w:sz="0" w:space="0" w:color="auto"/>
      </w:divBdr>
    </w:div>
    <w:div w:id="1893807352">
      <w:bodyDiv w:val="1"/>
      <w:marLeft w:val="0"/>
      <w:marRight w:val="0"/>
      <w:marTop w:val="0"/>
      <w:marBottom w:val="0"/>
      <w:divBdr>
        <w:top w:val="none" w:sz="0" w:space="0" w:color="auto"/>
        <w:left w:val="none" w:sz="0" w:space="0" w:color="auto"/>
        <w:bottom w:val="none" w:sz="0" w:space="0" w:color="auto"/>
        <w:right w:val="none" w:sz="0" w:space="0" w:color="auto"/>
      </w:divBdr>
    </w:div>
    <w:div w:id="2105294543">
      <w:bodyDiv w:val="1"/>
      <w:marLeft w:val="0"/>
      <w:marRight w:val="0"/>
      <w:marTop w:val="0"/>
      <w:marBottom w:val="0"/>
      <w:divBdr>
        <w:top w:val="none" w:sz="0" w:space="0" w:color="auto"/>
        <w:left w:val="none" w:sz="0" w:space="0" w:color="auto"/>
        <w:bottom w:val="none" w:sz="0" w:space="0" w:color="auto"/>
        <w:right w:val="none" w:sz="0" w:space="0" w:color="auto"/>
      </w:divBdr>
    </w:div>
    <w:div w:id="2119132501">
      <w:bodyDiv w:val="1"/>
      <w:marLeft w:val="0"/>
      <w:marRight w:val="0"/>
      <w:marTop w:val="0"/>
      <w:marBottom w:val="0"/>
      <w:divBdr>
        <w:top w:val="none" w:sz="0" w:space="0" w:color="auto"/>
        <w:left w:val="none" w:sz="0" w:space="0" w:color="auto"/>
        <w:bottom w:val="none" w:sz="0" w:space="0" w:color="auto"/>
        <w:right w:val="none" w:sz="0" w:space="0" w:color="auto"/>
      </w:divBdr>
    </w:div>
    <w:div w:id="212449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4B5D-E50F-44CD-B246-88DE244B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A1F3F901.dotm</Template>
  <TotalTime>1</TotalTime>
  <Pages>16</Pages>
  <Words>2829</Words>
  <Characters>16130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Cullen Melanie</dc:creator>
  <cp:lastModifiedBy>Sara Horne</cp:lastModifiedBy>
  <cp:revision>2</cp:revision>
  <cp:lastPrinted>2019-03-30T22:57:00Z</cp:lastPrinted>
  <dcterms:created xsi:type="dcterms:W3CDTF">2019-04-03T05:53:00Z</dcterms:created>
  <dcterms:modified xsi:type="dcterms:W3CDTF">2019-04-03T05:53:00Z</dcterms:modified>
</cp:coreProperties>
</file>