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EC4" w:rsidRDefault="00A21EC4" w:rsidP="00120D02">
      <w:pPr>
        <w:spacing w:line="480" w:lineRule="auto"/>
        <w:rPr>
          <w:sz w:val="36"/>
          <w:szCs w:val="36"/>
          <w:lang w:val="en-GB"/>
        </w:rPr>
      </w:pPr>
      <w:r>
        <w:rPr>
          <w:noProof/>
        </w:rPr>
        <w:drawing>
          <wp:inline distT="0" distB="0" distL="0" distR="0">
            <wp:extent cx="2147570" cy="595630"/>
            <wp:effectExtent l="25400" t="0" r="11430" b="0"/>
            <wp:docPr id="6" name="Picture 1"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3"/>
                    <pic:cNvPicPr>
                      <a:picLocks noChangeAspect="1" noChangeArrowheads="1"/>
                    </pic:cNvPicPr>
                  </pic:nvPicPr>
                  <pic:blipFill>
                    <a:blip r:embed="rId6"/>
                    <a:srcRect/>
                    <a:stretch>
                      <a:fillRect/>
                    </a:stretch>
                  </pic:blipFill>
                  <pic:spPr bwMode="auto">
                    <a:xfrm>
                      <a:off x="0" y="0"/>
                      <a:ext cx="2147570" cy="595630"/>
                    </a:xfrm>
                    <a:prstGeom prst="rect">
                      <a:avLst/>
                    </a:prstGeom>
                    <a:noFill/>
                    <a:ln w="9525">
                      <a:noFill/>
                      <a:miter lim="800000"/>
                      <a:headEnd/>
                      <a:tailEnd/>
                    </a:ln>
                  </pic:spPr>
                </pic:pic>
              </a:graphicData>
            </a:graphic>
          </wp:inline>
        </w:drawing>
      </w:r>
    </w:p>
    <w:p w:rsidR="00120D02" w:rsidRPr="00D177AD" w:rsidRDefault="00120D02" w:rsidP="00D177AD">
      <w:pPr>
        <w:pStyle w:val="bodytext"/>
        <w:rPr>
          <w:sz w:val="36"/>
        </w:rPr>
      </w:pPr>
      <w:r w:rsidRPr="00D177AD">
        <w:rPr>
          <w:sz w:val="36"/>
        </w:rPr>
        <w:t>Professional Services Review</w:t>
      </w:r>
    </w:p>
    <w:p w:rsidR="00120D02" w:rsidRPr="00120D02" w:rsidRDefault="00120D02" w:rsidP="00D177AD">
      <w:pPr>
        <w:pStyle w:val="bodytext"/>
        <w:rPr>
          <w:sz w:val="72"/>
          <w:szCs w:val="72"/>
        </w:rPr>
      </w:pPr>
      <w:r w:rsidRPr="00120D02">
        <w:rPr>
          <w:sz w:val="72"/>
          <w:szCs w:val="72"/>
        </w:rPr>
        <w:t>Annual Report</w:t>
      </w:r>
    </w:p>
    <w:p w:rsidR="00120D02" w:rsidRPr="00120D02" w:rsidRDefault="00120D02" w:rsidP="00D177AD">
      <w:pPr>
        <w:pStyle w:val="bodytext"/>
        <w:rPr>
          <w:sz w:val="72"/>
          <w:szCs w:val="72"/>
        </w:rPr>
      </w:pPr>
      <w:r w:rsidRPr="00120D02">
        <w:rPr>
          <w:sz w:val="72"/>
          <w:szCs w:val="72"/>
        </w:rPr>
        <w:t>2013–14</w:t>
      </w:r>
    </w:p>
    <w:p w:rsidR="006F6D3C" w:rsidRDefault="006F6D3C" w:rsidP="00120D02">
      <w:pPr>
        <w:spacing w:line="480" w:lineRule="auto"/>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6F6D3C">
      <w:pPr>
        <w:rPr>
          <w:lang w:val="en-GB"/>
        </w:rPr>
      </w:pPr>
    </w:p>
    <w:p w:rsidR="006F6D3C" w:rsidRPr="006F6D3C" w:rsidRDefault="006F6D3C" w:rsidP="00120D02">
      <w:pPr>
        <w:spacing w:line="480" w:lineRule="auto"/>
        <w:rPr>
          <w:lang w:val="en-GB"/>
        </w:rPr>
      </w:pPr>
    </w:p>
    <w:p w:rsidR="00FA6C41" w:rsidRPr="00FA6C41" w:rsidRDefault="00FA6C41" w:rsidP="00120D02">
      <w:pPr>
        <w:spacing w:line="480" w:lineRule="auto"/>
        <w:rPr>
          <w:lang w:val="en-GB"/>
        </w:rPr>
      </w:pPr>
      <w:r w:rsidRPr="00FA6C41">
        <w:rPr>
          <w:lang w:val="en-GB"/>
        </w:rPr>
        <w:t>© Commonwealth of Australia 2014 ISSN 1327</w:t>
      </w:r>
      <w:r w:rsidRPr="00FA6C41">
        <w:rPr>
          <w:rFonts w:ascii="Monaco" w:hAnsi="Monaco" w:cs="Monaco"/>
          <w:lang w:val="en-GB"/>
        </w:rPr>
        <w:t>‑</w:t>
      </w:r>
      <w:r w:rsidRPr="00FA6C41">
        <w:rPr>
          <w:lang w:val="en-GB"/>
        </w:rPr>
        <w:t>6514</w:t>
      </w:r>
    </w:p>
    <w:p w:rsidR="00FA6C41" w:rsidRPr="00FA6C41" w:rsidRDefault="00FA6C41" w:rsidP="00D177AD">
      <w:pPr>
        <w:pStyle w:val="bodytext"/>
      </w:pPr>
      <w:r w:rsidRPr="00FA6C41">
        <w:t xml:space="preserve">This work is copyright. Apart from any use as permitted under the </w:t>
      </w:r>
      <w:r w:rsidRPr="00FA6C41">
        <w:rPr>
          <w:i/>
        </w:rPr>
        <w:t>Copyright Act 1968,</w:t>
      </w:r>
      <w:r w:rsidRPr="00FA6C41">
        <w:t xml:space="preserve"> </w:t>
      </w:r>
      <w:proofErr w:type="gramStart"/>
      <w:r w:rsidRPr="00FA6C41">
        <w:t>no part may be reproduced by any process</w:t>
      </w:r>
      <w:proofErr w:type="gramEnd"/>
      <w:r w:rsidRPr="00FA6C41">
        <w:t xml:space="preserve"> without prior written permission from the Commonwealth. Requests and enquiries concerning reproduction and rights should be addressed to the Commonwealth Copyright Administration, Attorney General’s Department, Robert Garran Offices, National Circuit, Barton ACT 2600. </w:t>
      </w:r>
    </w:p>
    <w:p w:rsidR="00FA6C41" w:rsidRPr="00FA6C41" w:rsidRDefault="00FA6C41" w:rsidP="00D177AD">
      <w:pPr>
        <w:pStyle w:val="bodytext"/>
      </w:pPr>
      <w:r w:rsidRPr="00FA6C41">
        <w:t>Copies of this report can be obtained from:</w:t>
      </w:r>
    </w:p>
    <w:p w:rsidR="00FA6C41" w:rsidRPr="00FA6C41" w:rsidRDefault="00FA6C41" w:rsidP="00D177AD">
      <w:pPr>
        <w:pStyle w:val="bodytext"/>
      </w:pPr>
      <w:r w:rsidRPr="00FA6C41">
        <w:t>Professional Services Review</w:t>
      </w:r>
      <w:r w:rsidRPr="00FA6C41">
        <w:br/>
        <w:t>PO Box 7152</w:t>
      </w:r>
      <w:r w:rsidRPr="00FA6C41">
        <w:br/>
        <w:t>Canberra Business Centre</w:t>
      </w:r>
      <w:r w:rsidRPr="00FA6C41">
        <w:br/>
        <w:t>ACT 2610</w:t>
      </w:r>
    </w:p>
    <w:p w:rsidR="00FA6C41" w:rsidRPr="00FA6C41" w:rsidRDefault="00FA6C41" w:rsidP="00D177AD">
      <w:pPr>
        <w:pStyle w:val="bodytext"/>
      </w:pPr>
      <w:r w:rsidRPr="00FA6C41">
        <w:t>Telephone: 02 6120 9100</w:t>
      </w:r>
      <w:r w:rsidRPr="00FA6C41">
        <w:br/>
        <w:t>Facsimile: 02 6120 9199</w:t>
      </w:r>
      <w:r w:rsidRPr="00FA6C41">
        <w:br/>
        <w:t xml:space="preserve">Internet: www.psr.gov.au </w:t>
      </w:r>
    </w:p>
    <w:p w:rsidR="00FA6C41" w:rsidRPr="00FA6C41" w:rsidRDefault="00FA6C41" w:rsidP="00D177AD">
      <w:pPr>
        <w:pStyle w:val="bodytext"/>
      </w:pPr>
      <w:r w:rsidRPr="00FA6C41">
        <w:t>Further information can be obtained from:</w:t>
      </w:r>
    </w:p>
    <w:p w:rsidR="00FA6C41" w:rsidRPr="00FA6C41" w:rsidRDefault="00FA6C41" w:rsidP="00D177AD">
      <w:pPr>
        <w:pStyle w:val="bodytext"/>
      </w:pPr>
      <w:r w:rsidRPr="00FA6C41">
        <w:t>Executive Officer</w:t>
      </w:r>
      <w:r w:rsidRPr="00FA6C41">
        <w:br/>
        <w:t>Professional Services Review</w:t>
      </w:r>
      <w:r w:rsidRPr="00FA6C41">
        <w:br/>
        <w:t>Telephone: 02 6120 9100</w:t>
      </w:r>
      <w:r w:rsidRPr="00FA6C41">
        <w:br/>
        <w:t>Facsimile: 02 6120 9199</w:t>
      </w:r>
    </w:p>
    <w:p w:rsidR="00FA6C41" w:rsidRPr="00FA6C41" w:rsidRDefault="00FA6C41" w:rsidP="00FA6C41">
      <w:pPr>
        <w:widowControl w:val="0"/>
        <w:suppressAutoHyphens/>
        <w:autoSpaceDE w:val="0"/>
        <w:autoSpaceDN w:val="0"/>
        <w:adjustRightInd w:val="0"/>
        <w:spacing w:after="57" w:line="260" w:lineRule="atLeast"/>
        <w:textAlignment w:val="center"/>
        <w:rPr>
          <w:rFonts w:ascii="SamoSansPro-Medium" w:hAnsi="SamoSansPro-Medium" w:cs="SamoSansPro-Medium"/>
          <w:outline/>
          <w:color w:val="000000"/>
          <w:sz w:val="36"/>
          <w:szCs w:val="36"/>
          <w:lang w:val="en-GB"/>
        </w:rPr>
      </w:pPr>
    </w:p>
    <w:p w:rsidR="00FA6C41" w:rsidRPr="00FA6C41" w:rsidRDefault="00FA6C41" w:rsidP="00FA6C41">
      <w:pPr>
        <w:pStyle w:val="Heading1"/>
      </w:pPr>
      <w:bookmarkStart w:id="0" w:name="_Toc275439449"/>
      <w:bookmarkStart w:id="1" w:name="_Toc276039545"/>
      <w:bookmarkStart w:id="2" w:name="_Toc276039908"/>
      <w:bookmarkStart w:id="3" w:name="_Toc276040150"/>
      <w:r w:rsidRPr="00FA6C41">
        <w:t>Letter of transmittal</w:t>
      </w:r>
      <w:bookmarkEnd w:id="0"/>
      <w:bookmarkEnd w:id="1"/>
      <w:bookmarkEnd w:id="2"/>
      <w:bookmarkEnd w:id="3"/>
    </w:p>
    <w:p w:rsidR="00FA6C41" w:rsidRPr="00FA6C41" w:rsidRDefault="00FA6C41" w:rsidP="00D177AD">
      <w:pPr>
        <w:pStyle w:val="bodytext"/>
      </w:pPr>
      <w:r w:rsidRPr="00FA6C41">
        <w:t>The Hon. Peter Dutton MP</w:t>
      </w:r>
      <w:r w:rsidRPr="00FA6C41">
        <w:br/>
        <w:t xml:space="preserve">Minister for Health and Minister for Sport </w:t>
      </w:r>
      <w:r w:rsidRPr="00FA6C41">
        <w:br/>
        <w:t>Parliament House</w:t>
      </w:r>
      <w:r w:rsidRPr="00FA6C41">
        <w:br/>
        <w:t>Canberra ACT 2600</w:t>
      </w:r>
    </w:p>
    <w:p w:rsidR="00FA6C41" w:rsidRPr="00FA6C41" w:rsidRDefault="00FA6C41" w:rsidP="00D177AD">
      <w:pPr>
        <w:pStyle w:val="bodytext"/>
      </w:pPr>
      <w:r w:rsidRPr="00FA6C41">
        <w:t>Dear Minister</w:t>
      </w:r>
    </w:p>
    <w:p w:rsidR="00FA6C41" w:rsidRPr="00FA6C41" w:rsidRDefault="00FA6C41" w:rsidP="00D177AD">
      <w:pPr>
        <w:pStyle w:val="bodytext"/>
      </w:pPr>
      <w:r w:rsidRPr="00FA6C41">
        <w:t xml:space="preserve">I am pleased to present to you the Annual Report of the Professional Services Review Agency for the year ending 30 June 2014. </w:t>
      </w:r>
    </w:p>
    <w:p w:rsidR="00FA6C41" w:rsidRPr="00FA6C41" w:rsidRDefault="00FA6C41" w:rsidP="00D177AD">
      <w:pPr>
        <w:pStyle w:val="bodytext"/>
      </w:pPr>
      <w:r w:rsidRPr="00FA6C41">
        <w:t xml:space="preserve">The report has been prepared in accordance with section 106ZQ of the </w:t>
      </w:r>
      <w:r w:rsidRPr="00FA6C41">
        <w:rPr>
          <w:i/>
        </w:rPr>
        <w:t xml:space="preserve">Health Insurance Act </w:t>
      </w:r>
      <w:proofErr w:type="gramStart"/>
      <w:r w:rsidRPr="00FA6C41">
        <w:rPr>
          <w:i/>
        </w:rPr>
        <w:t>1973</w:t>
      </w:r>
      <w:r w:rsidRPr="00FA6C41">
        <w:t xml:space="preserve"> which</w:t>
      </w:r>
      <w:proofErr w:type="gramEnd"/>
      <w:r w:rsidRPr="00FA6C41">
        <w:t xml:space="preserve"> requires me to provide you with a report to present to the Parliament. The report reflects the Requirements for Annual Reports approved by the Joint Committee of Public Accounts and Audit under sections 63 and 70 of the </w:t>
      </w:r>
      <w:r w:rsidRPr="00FA6C41">
        <w:rPr>
          <w:i/>
        </w:rPr>
        <w:t>Public Service Act 1999.</w:t>
      </w:r>
      <w:r w:rsidRPr="00FA6C41">
        <w:t xml:space="preserve"> </w:t>
      </w:r>
    </w:p>
    <w:p w:rsidR="00FA6C41" w:rsidRPr="00FA6C41" w:rsidRDefault="00FA6C41" w:rsidP="00D177AD">
      <w:pPr>
        <w:pStyle w:val="bodytext"/>
      </w:pPr>
      <w:r w:rsidRPr="00FA6C41">
        <w:t xml:space="preserve">The report includes the Professional Services Review Agency’s audited financial statements as required under section 57 of the </w:t>
      </w:r>
      <w:r w:rsidRPr="00FA6C41">
        <w:rPr>
          <w:i/>
        </w:rPr>
        <w:t>Financial Management and Accountability Act 1997.</w:t>
      </w:r>
    </w:p>
    <w:p w:rsidR="00FA6C41" w:rsidRPr="00FA6C41" w:rsidRDefault="00FA6C41" w:rsidP="00D177AD">
      <w:pPr>
        <w:pStyle w:val="bodytext"/>
        <w:rPr>
          <w:i/>
        </w:rPr>
      </w:pPr>
      <w:r w:rsidRPr="00FA6C41">
        <w:t xml:space="preserve">I am satisfied that the Professional Services Review Agency has in place fraud control mechanisms that meet the agency’s needs and comply with the </w:t>
      </w:r>
      <w:r w:rsidRPr="00FA6C41">
        <w:rPr>
          <w:i/>
        </w:rPr>
        <w:t xml:space="preserve">Commonwealth Fraud Control Guidelines. </w:t>
      </w:r>
    </w:p>
    <w:p w:rsidR="006E5DFF" w:rsidRPr="006E5DFF" w:rsidRDefault="00FA6C41" w:rsidP="00D177AD">
      <w:pPr>
        <w:pStyle w:val="bodytext"/>
        <w:rPr>
          <w:rFonts w:ascii="SamoSansPro-Regular" w:hAnsi="SamoSansPro-Regular" w:cs="SamoSansPro-Regular"/>
        </w:rPr>
      </w:pPr>
      <w:r w:rsidRPr="00FA6C41">
        <w:t>Yours sincerely</w:t>
      </w:r>
    </w:p>
    <w:p w:rsidR="006E5DFF" w:rsidRDefault="006E5DFF" w:rsidP="00D177AD">
      <w:pPr>
        <w:pStyle w:val="bodytext"/>
      </w:pPr>
    </w:p>
    <w:p w:rsidR="006E5DFF" w:rsidRDefault="006E5DFF" w:rsidP="00D177AD">
      <w:pPr>
        <w:pStyle w:val="bodytext"/>
      </w:pPr>
    </w:p>
    <w:p w:rsidR="006E5DFF" w:rsidRDefault="006E5DFF" w:rsidP="00D177AD">
      <w:pPr>
        <w:pStyle w:val="bodytext"/>
      </w:pPr>
      <w:r w:rsidRPr="006E5DFF">
        <w:rPr>
          <w:noProof/>
        </w:rPr>
        <w:drawing>
          <wp:inline distT="0" distB="0" distL="0" distR="0">
            <wp:extent cx="1499235" cy="563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99235" cy="563245"/>
                    </a:xfrm>
                    <a:prstGeom prst="rect">
                      <a:avLst/>
                    </a:prstGeom>
                    <a:noFill/>
                    <a:ln>
                      <a:noFill/>
                    </a:ln>
                  </pic:spPr>
                </pic:pic>
              </a:graphicData>
            </a:graphic>
          </wp:inline>
        </w:drawing>
      </w:r>
    </w:p>
    <w:p w:rsidR="006E5DFF" w:rsidRPr="00FA6C41" w:rsidRDefault="006E5DFF" w:rsidP="00D177AD">
      <w:pPr>
        <w:pStyle w:val="bodytext"/>
      </w:pPr>
    </w:p>
    <w:p w:rsidR="00FA6C41" w:rsidRPr="00FA6C41" w:rsidRDefault="00FA6C41" w:rsidP="00D177AD">
      <w:pPr>
        <w:pStyle w:val="bodytext"/>
      </w:pPr>
      <w:r w:rsidRPr="00FA6C41">
        <w:t xml:space="preserve">Dr Bill Coote </w:t>
      </w:r>
      <w:r w:rsidRPr="00FA6C41">
        <w:br/>
        <w:t>Director</w:t>
      </w:r>
      <w:r w:rsidRPr="00FA6C41">
        <w:br/>
        <w:t xml:space="preserve">Professional Services Review </w:t>
      </w:r>
      <w:r w:rsidRPr="00FA6C41">
        <w:br/>
        <w:t>October 2014</w:t>
      </w:r>
    </w:p>
    <w:p w:rsidR="004C030E" w:rsidRDefault="00FA6C41" w:rsidP="00FA6C41">
      <w:pPr>
        <w:pStyle w:val="Heading1"/>
      </w:pPr>
      <w:bookmarkStart w:id="4" w:name="_Toc275439450"/>
      <w:bookmarkStart w:id="5" w:name="_Toc276039546"/>
      <w:bookmarkStart w:id="6" w:name="_Toc276039909"/>
      <w:bookmarkStart w:id="7" w:name="_Toc276040151"/>
      <w:r>
        <w:t>Contents</w:t>
      </w:r>
      <w:bookmarkEnd w:id="4"/>
      <w:bookmarkEnd w:id="5"/>
      <w:bookmarkEnd w:id="6"/>
      <w:bookmarkEnd w:id="7"/>
    </w:p>
    <w:p w:rsidR="004C030E" w:rsidRPr="001A4E58" w:rsidRDefault="00FC6B5C" w:rsidP="004C030E">
      <w:pPr>
        <w:pStyle w:val="TOC1"/>
        <w:tabs>
          <w:tab w:val="right" w:leader="dot" w:pos="10456"/>
        </w:tabs>
        <w:rPr>
          <w:rFonts w:ascii="Arial" w:eastAsiaTheme="minorEastAsia" w:hAnsi="Arial"/>
          <w:b w:val="0"/>
          <w:noProof/>
          <w:sz w:val="24"/>
          <w:szCs w:val="24"/>
        </w:rPr>
      </w:pPr>
      <w:r w:rsidRPr="00FC6B5C">
        <w:rPr>
          <w:rFonts w:ascii="Arial" w:hAnsi="Arial"/>
        </w:rPr>
        <w:fldChar w:fldCharType="begin"/>
      </w:r>
      <w:r w:rsidR="004C030E" w:rsidRPr="001A4E58">
        <w:rPr>
          <w:rFonts w:ascii="Arial" w:hAnsi="Arial"/>
        </w:rPr>
        <w:instrText xml:space="preserve"> TOC \o "1-3" </w:instrText>
      </w:r>
      <w:r w:rsidRPr="00FC6B5C">
        <w:rPr>
          <w:rFonts w:ascii="Arial" w:hAnsi="Arial"/>
        </w:rPr>
        <w:fldChar w:fldCharType="separate"/>
      </w:r>
      <w:r w:rsidR="004C030E" w:rsidRPr="001A4E58">
        <w:rPr>
          <w:rFonts w:ascii="Arial" w:hAnsi="Arial"/>
          <w:noProof/>
        </w:rPr>
        <w:t>Director’s introduction</w:t>
      </w:r>
      <w:r w:rsidR="004C030E" w:rsidRPr="001A4E58">
        <w:rPr>
          <w:rFonts w:ascii="Arial" w:hAnsi="Arial"/>
          <w:noProof/>
        </w:rPr>
        <w:tab/>
      </w:r>
      <w:r w:rsidRPr="001A4E58">
        <w:rPr>
          <w:rFonts w:ascii="Arial" w:hAnsi="Arial"/>
          <w:noProof/>
        </w:rPr>
        <w:fldChar w:fldCharType="begin"/>
      </w:r>
      <w:r w:rsidR="004C030E" w:rsidRPr="001A4E58">
        <w:rPr>
          <w:rFonts w:ascii="Arial" w:hAnsi="Arial"/>
          <w:noProof/>
        </w:rPr>
        <w:instrText xml:space="preserve"> PAGEREF _Toc276040152 \h </w:instrText>
      </w:r>
      <w:r w:rsidR="002E4737" w:rsidRPr="00FC6B5C">
        <w:rPr>
          <w:rFonts w:ascii="Arial" w:hAnsi="Arial"/>
          <w:noProof/>
        </w:rPr>
      </w:r>
      <w:r w:rsidRPr="001A4E58">
        <w:rPr>
          <w:rFonts w:ascii="Arial" w:hAnsi="Arial"/>
          <w:noProof/>
        </w:rPr>
        <w:fldChar w:fldCharType="separate"/>
      </w:r>
      <w:r w:rsidR="001E2C73">
        <w:rPr>
          <w:rFonts w:ascii="Arial" w:hAnsi="Arial"/>
          <w:noProof/>
        </w:rPr>
        <w:t>v</w:t>
      </w:r>
      <w:r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noProof/>
        </w:rPr>
        <w:t>1 Agency overview</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_Toc276040155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1</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The Professional Services Review Scheme</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_Toc276040156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1</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About the Professional Services Review Agency</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_Toc276040157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1</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Our stakeholders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_Toc276040158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1</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Agency and scheme objectives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_Toc276040159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1</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Agency outcome</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_Toc276040160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Agency delivery of outcome</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_Toc276040161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The future</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_Toc276040162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noProof/>
        </w:rPr>
        <w:t>2 Report on performance</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_Toc276040163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3</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Outcome and program aims and major activities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_Toc276040164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3</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Professional Services Review Agency performance</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_Toc276040167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3</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Summary of legal cases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_Toc276040177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8</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Performance against Portfolio Budget Statement 2013–14</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_Toc276040179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8</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Director’s comments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_Toc276040182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9</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noProof/>
        </w:rPr>
        <w:t>3. Management and accountability</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_Toc276040187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16</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Structure and organisation</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_Toc276040188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16</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Management of human resources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_Toc276040197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20</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noProof/>
        </w:rPr>
        <w:t>4 Finance</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_Toc276040202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24</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Purchasing</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_Toc276040203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24</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Asset management</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_Toc276040204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24</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Consultants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_Toc276040205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24</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Australian National Audit Office access clauses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_Toc276040206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25</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Exempt contracts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_Toc276040207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25</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Advertising and market research</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_Toc276040208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25</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Grants programs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_Toc276040209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w:t>
      </w:r>
      <w:r w:rsidR="001E2C73">
        <w:rPr>
          <w:rFonts w:ascii="Arial" w:hAnsi="Arial"/>
          <w:noProof/>
        </w:rPr>
        <w:t>5</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Ecologically sustainable development and environmental performance</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_Toc276040210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25</w:t>
      </w:r>
      <w:r w:rsidR="00FC6B5C" w:rsidRPr="001A4E58">
        <w:rPr>
          <w:rFonts w:ascii="Arial" w:hAnsi="Arial"/>
          <w:noProof/>
        </w:rPr>
        <w:fldChar w:fldCharType="end"/>
      </w:r>
    </w:p>
    <w:p w:rsidR="004C030E" w:rsidRPr="001A4E58" w:rsidRDefault="004C030E">
      <w:pPr>
        <w:pStyle w:val="TOC2"/>
        <w:tabs>
          <w:tab w:val="right" w:leader="dot" w:pos="10456"/>
        </w:tabs>
        <w:rPr>
          <w:rFonts w:ascii="Arial" w:eastAsiaTheme="minorEastAsia" w:hAnsi="Arial"/>
          <w:i w:val="0"/>
          <w:noProof/>
          <w:sz w:val="24"/>
          <w:szCs w:val="24"/>
        </w:rPr>
      </w:pPr>
      <w:r w:rsidRPr="001A4E58">
        <w:rPr>
          <w:rFonts w:ascii="Arial" w:hAnsi="Arial"/>
          <w:noProof/>
        </w:rPr>
        <w:t>Publications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_Toc276040211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25</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noProof/>
        </w:rPr>
        <w:t>Appendicies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_Toc276040212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27</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cs="SamoSansPro-Bold"/>
          <w:noProof/>
        </w:rPr>
        <w:t>Appendix 1:</w:t>
      </w:r>
      <w:r w:rsidRPr="001A4E58">
        <w:rPr>
          <w:rFonts w:ascii="Arial" w:hAnsi="Arial"/>
          <w:noProof/>
        </w:rPr>
        <w:t xml:space="preserve"> Resource statement and  outcome summary 2013–14</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_Toc276040213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28</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cs="SamoSansPro-Bold"/>
          <w:noProof/>
        </w:rPr>
        <w:t xml:space="preserve">Appendix 2: </w:t>
      </w:r>
      <w:r w:rsidRPr="001A4E58">
        <w:rPr>
          <w:rFonts w:ascii="Arial" w:hAnsi="Arial"/>
          <w:noProof/>
        </w:rPr>
        <w:t>Financial Statements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_Toc276040214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30</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noProof/>
        </w:rPr>
        <w:t>Appendix 3</w:t>
      </w:r>
      <w:r w:rsidR="003D399E" w:rsidRPr="001A4E58">
        <w:rPr>
          <w:rFonts w:ascii="Arial" w:hAnsi="Arial"/>
          <w:noProof/>
        </w:rPr>
        <w:t>:</w:t>
      </w:r>
      <w:r w:rsidRPr="001A4E58">
        <w:rPr>
          <w:rFonts w:ascii="Arial" w:hAnsi="Arial"/>
          <w:noProof/>
        </w:rPr>
        <w:t xml:space="preserve"> Freedom of information statement</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_Toc276040239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82</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noProof/>
        </w:rPr>
        <w:t>Glossary</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_Toc276040240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83</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noProof/>
        </w:rPr>
        <w:t>List of requirements</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_Toc276040241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85</w:t>
      </w:r>
      <w:r w:rsidR="00FC6B5C" w:rsidRPr="001A4E58">
        <w:rPr>
          <w:rFonts w:ascii="Arial" w:hAnsi="Arial"/>
          <w:noProof/>
        </w:rPr>
        <w:fldChar w:fldCharType="end"/>
      </w:r>
    </w:p>
    <w:p w:rsidR="004C030E" w:rsidRPr="001A4E58" w:rsidRDefault="004C030E">
      <w:pPr>
        <w:pStyle w:val="TOC1"/>
        <w:tabs>
          <w:tab w:val="right" w:leader="dot" w:pos="10456"/>
        </w:tabs>
        <w:rPr>
          <w:rFonts w:ascii="Arial" w:eastAsiaTheme="minorEastAsia" w:hAnsi="Arial"/>
          <w:b w:val="0"/>
          <w:noProof/>
          <w:sz w:val="24"/>
          <w:szCs w:val="24"/>
        </w:rPr>
      </w:pPr>
      <w:r w:rsidRPr="001A4E58">
        <w:rPr>
          <w:rFonts w:ascii="Arial" w:hAnsi="Arial"/>
          <w:noProof/>
        </w:rPr>
        <w:t>Index</w:t>
      </w:r>
      <w:r w:rsidRPr="001A4E58">
        <w:rPr>
          <w:rFonts w:ascii="Arial" w:hAnsi="Arial"/>
          <w:noProof/>
        </w:rPr>
        <w:tab/>
      </w:r>
      <w:r w:rsidR="00FC6B5C" w:rsidRPr="001A4E58">
        <w:rPr>
          <w:rFonts w:ascii="Arial" w:hAnsi="Arial"/>
          <w:noProof/>
        </w:rPr>
        <w:fldChar w:fldCharType="begin"/>
      </w:r>
      <w:r w:rsidRPr="001A4E58">
        <w:rPr>
          <w:rFonts w:ascii="Arial" w:hAnsi="Arial"/>
          <w:noProof/>
        </w:rPr>
        <w:instrText xml:space="preserve"> PAGEREF _Toc276040242 \h </w:instrText>
      </w:r>
      <w:r w:rsidR="002E4737" w:rsidRPr="00FC6B5C">
        <w:rPr>
          <w:rFonts w:ascii="Arial" w:hAnsi="Arial"/>
          <w:noProof/>
        </w:rPr>
      </w:r>
      <w:r w:rsidR="00FC6B5C" w:rsidRPr="001A4E58">
        <w:rPr>
          <w:rFonts w:ascii="Arial" w:hAnsi="Arial"/>
          <w:noProof/>
        </w:rPr>
        <w:fldChar w:fldCharType="separate"/>
      </w:r>
      <w:r w:rsidR="001E2C73">
        <w:rPr>
          <w:rFonts w:ascii="Arial" w:hAnsi="Arial"/>
          <w:noProof/>
        </w:rPr>
        <w:t>90</w:t>
      </w:r>
      <w:r w:rsidR="00FC6B5C" w:rsidRPr="001A4E58">
        <w:rPr>
          <w:rFonts w:ascii="Arial" w:hAnsi="Arial"/>
          <w:noProof/>
        </w:rPr>
        <w:fldChar w:fldCharType="end"/>
      </w:r>
    </w:p>
    <w:p w:rsidR="00FA6C41" w:rsidRPr="004C030E" w:rsidRDefault="00FC6B5C" w:rsidP="004C030E">
      <w:r w:rsidRPr="001A4E58">
        <w:fldChar w:fldCharType="end"/>
      </w:r>
    </w:p>
    <w:p w:rsidR="00FA6C41" w:rsidRPr="00FA6C41" w:rsidRDefault="00FA6C41" w:rsidP="00FA6C41">
      <w:pPr>
        <w:pStyle w:val="Heading1"/>
        <w:rPr>
          <w:rFonts w:ascii="SamoSansPro-Light" w:hAnsi="SamoSansPro-Light" w:cs="SamoSansPro-Light"/>
        </w:rPr>
      </w:pPr>
      <w:bookmarkStart w:id="8" w:name="_Toc275439451"/>
      <w:bookmarkStart w:id="9" w:name="_Toc276040152"/>
      <w:r w:rsidRPr="00FA6C41">
        <w:t>Director’s introduction</w:t>
      </w:r>
      <w:bookmarkEnd w:id="8"/>
      <w:bookmarkEnd w:id="9"/>
      <w:r w:rsidRPr="00FA6C41">
        <w:t xml:space="preserve"> </w:t>
      </w:r>
    </w:p>
    <w:p w:rsidR="00FA6C41" w:rsidRPr="00FA6C41" w:rsidRDefault="00FA6C41" w:rsidP="00D177AD">
      <w:pPr>
        <w:pStyle w:val="bodytext"/>
      </w:pPr>
      <w:r w:rsidRPr="00FA6C41">
        <w:t xml:space="preserve">The Professional Services Review (PSR) Agency was formally established 20 years ago, on 21 July 1994, when the then Minister for Human Services and Health, Dr Carmen Lawrence, formally appointed Dr John Holmes as the inaugural Director PSR. There have been two other PSR Directors since Dr Holmes retired in 2005. Dr Tony Webber was Director from 2005 until 2011, when the present Director was appointed.  </w:t>
      </w:r>
    </w:p>
    <w:p w:rsidR="00FA6C41" w:rsidRPr="00FA6C41" w:rsidRDefault="00FA6C41" w:rsidP="00D177AD">
      <w:pPr>
        <w:pStyle w:val="bodytext"/>
      </w:pPr>
      <w:r w:rsidRPr="00FA6C41">
        <w:t xml:space="preserve">The part of the </w:t>
      </w:r>
      <w:r w:rsidRPr="00FA6C41">
        <w:rPr>
          <w:i/>
        </w:rPr>
        <w:t>Health Insurance Act 1973</w:t>
      </w:r>
      <w:r w:rsidRPr="00FA6C41">
        <w:t xml:space="preserve"> that establishes the PSR Scheme defines the basic objects of the scheme. These are to protect ‘patients and the community in general from the risks associated with inappropriate practice’ and to protect ‘the Commonwealth from having to meet the cost of services provided as a result of inappropriate practice’. </w:t>
      </w:r>
    </w:p>
    <w:p w:rsidR="00FA6C41" w:rsidRPr="00FA6C41" w:rsidRDefault="00FA6C41" w:rsidP="00D177AD">
      <w:pPr>
        <w:pStyle w:val="bodytext"/>
      </w:pPr>
      <w:r w:rsidRPr="00FA6C41">
        <w:t>PSR is a peer review system. It relies on the Professional Services Review Panel, which is made up of practitioners nominated by relevant professional bodies and appointed by the Minister for Health. PSR peer review committees are appointed from this panel.</w:t>
      </w:r>
    </w:p>
    <w:p w:rsidR="00FA6C41" w:rsidRPr="00FA6C41" w:rsidRDefault="00FA6C41" w:rsidP="00D177AD">
      <w:pPr>
        <w:pStyle w:val="bodytext"/>
      </w:pPr>
      <w:r w:rsidRPr="00FA6C41">
        <w:t>The legislation empowers PSR to require practitioners to provide samples of clinical records. Under the PSR Scheme more substantial sanctions apply than under previous arrangements. When a PSR committee finds ‘inappropriate practice’ after examining a random sample of services, any repayment of Medicare benefits can be ‘extrapolated’ to all services in the defined class provided during a defined year; a practitioner can also be disqualified from all or part of the Medicare or Pharmaceutical Benefits Scheme arrangements.</w:t>
      </w:r>
    </w:p>
    <w:p w:rsidR="00FA6C41" w:rsidRPr="00FA6C41" w:rsidRDefault="00FA6C41" w:rsidP="00D177AD">
      <w:pPr>
        <w:pStyle w:val="bodytext"/>
      </w:pPr>
      <w:r w:rsidRPr="00FA6C41">
        <w:t xml:space="preserve">Issues of concern regarding the health, conduct or performance of a practitioner sometimes become apparent during Medicare and PSR investigative processes. The legislation establishing PSR empowers the Professional Services Review Agency to refer such matters through the Australian Health Practitioner Regulation Agency (AHPRA) to relevant professional boards and state health complaints bodies. </w:t>
      </w:r>
    </w:p>
    <w:p w:rsidR="00FA6C41" w:rsidRPr="00FA6C41" w:rsidRDefault="00FA6C41" w:rsidP="00FA6C41">
      <w:pPr>
        <w:pStyle w:val="Heading2"/>
      </w:pPr>
      <w:bookmarkStart w:id="10" w:name="_Toc275439452"/>
      <w:bookmarkStart w:id="11" w:name="_Toc276039548"/>
      <w:bookmarkStart w:id="12" w:name="_Toc276040153"/>
      <w:r w:rsidRPr="00FA6C41">
        <w:t>Professional Services Review in 2013–14</w:t>
      </w:r>
      <w:bookmarkEnd w:id="10"/>
      <w:bookmarkEnd w:id="11"/>
      <w:bookmarkEnd w:id="12"/>
    </w:p>
    <w:p w:rsidR="00FA6C41" w:rsidRPr="00FA6C41" w:rsidRDefault="00FA6C41" w:rsidP="00D177AD">
      <w:pPr>
        <w:pStyle w:val="bodytext"/>
      </w:pPr>
      <w:r w:rsidRPr="00FA6C41">
        <w:t>This Annual Report details activities undertaken by the PSR Agency during 2013–14. The Agency has now recovered from the major disruptions to its activities during the period 2010 to 2012.</w:t>
      </w:r>
    </w:p>
    <w:p w:rsidR="00FA6C41" w:rsidRPr="00FA6C41" w:rsidRDefault="00FA6C41" w:rsidP="00D177AD">
      <w:pPr>
        <w:pStyle w:val="bodytext"/>
      </w:pPr>
      <w:r w:rsidRPr="00FA6C41">
        <w:t xml:space="preserve">During 2013–14 </w:t>
      </w:r>
      <w:proofErr w:type="gramStart"/>
      <w:r w:rsidRPr="00FA6C41">
        <w:t>six education</w:t>
      </w:r>
      <w:proofErr w:type="gramEnd"/>
      <w:r w:rsidRPr="00FA6C41">
        <w:t xml:space="preserve"> sessions were held for PSR Panel members:</w:t>
      </w:r>
    </w:p>
    <w:p w:rsidR="00FA6C41" w:rsidRPr="00FA6C41" w:rsidRDefault="00FA6C41" w:rsidP="004C030E">
      <w:pPr>
        <w:pStyle w:val="ListBullet"/>
      </w:pPr>
      <w:r w:rsidRPr="00FA6C41">
        <w:t>Training sessions for Panel members were held in Sydney in October 2013 and March 2014 and in Brisbane in November 2013 and in Adelaide in May 2014.</w:t>
      </w:r>
    </w:p>
    <w:p w:rsidR="00FA6C41" w:rsidRPr="00555691" w:rsidRDefault="00FA6C41" w:rsidP="004C030E">
      <w:pPr>
        <w:pStyle w:val="ListBullet"/>
      </w:pPr>
      <w:r w:rsidRPr="00FA6C41">
        <w:t xml:space="preserve">Training sessions for Deputy Directors were held in Canberra on Friday and Saturday 19 and 20 July 2013 and again on 13 and 14 June 2014. Senior representatives of the Department of Human Services, the Australian Medical Association and the Royal Australian College of General Practitioners attended. </w:t>
      </w:r>
    </w:p>
    <w:p w:rsidR="00FA6C41" w:rsidRPr="00FA6C41" w:rsidRDefault="00FA6C41" w:rsidP="00D177AD">
      <w:pPr>
        <w:pStyle w:val="bodytext"/>
      </w:pPr>
      <w:r w:rsidRPr="00FA6C41">
        <w:t>These educational events concentrated on PSR committee processes, with a focus on ensuring practitioners were accorded procedural fairness. At these sessions selected Panel members participated in mock committee hearings.</w:t>
      </w:r>
    </w:p>
    <w:p w:rsidR="00FA6C41" w:rsidRPr="00FA6C41" w:rsidRDefault="00FA6C41" w:rsidP="00D177AD">
      <w:pPr>
        <w:pStyle w:val="bodytext"/>
      </w:pPr>
      <w:r w:rsidRPr="00FA6C41">
        <w:t>Issues under consideration within PSR include:</w:t>
      </w:r>
    </w:p>
    <w:p w:rsidR="00FA6C41" w:rsidRPr="00FA6C41" w:rsidRDefault="00FA6C41" w:rsidP="004C030E">
      <w:pPr>
        <w:pStyle w:val="ListBullet"/>
        <w:rPr>
          <w:lang w:val="en-GB"/>
        </w:rPr>
      </w:pPr>
      <w:proofErr w:type="gramStart"/>
      <w:r w:rsidRPr="00FA6C41">
        <w:rPr>
          <w:lang w:val="en-GB"/>
        </w:rPr>
        <w:t>further</w:t>
      </w:r>
      <w:proofErr w:type="gramEnd"/>
      <w:r w:rsidRPr="00FA6C41">
        <w:rPr>
          <w:lang w:val="en-GB"/>
        </w:rPr>
        <w:t xml:space="preserve"> adoption of electronic communications, with plans to eventually have a PSR portal, to facilitate committee members’ input to draft reports and other documents</w:t>
      </w:r>
    </w:p>
    <w:p w:rsidR="00FA6C41" w:rsidRPr="00FA6C41" w:rsidRDefault="00FA6C41" w:rsidP="004C030E">
      <w:pPr>
        <w:pStyle w:val="ListBullet"/>
        <w:rPr>
          <w:lang w:val="en-GB"/>
        </w:rPr>
      </w:pPr>
      <w:proofErr w:type="gramStart"/>
      <w:r w:rsidRPr="00FA6C41">
        <w:rPr>
          <w:lang w:val="en-GB"/>
        </w:rPr>
        <w:t>further</w:t>
      </w:r>
      <w:proofErr w:type="gramEnd"/>
      <w:r w:rsidRPr="00FA6C41">
        <w:rPr>
          <w:lang w:val="en-GB"/>
        </w:rPr>
        <w:t xml:space="preserve"> development of processes currently in place to provide committee members with electronic versions of clinical notes for committee meetings. This is complicated by the variable adoption of electronic records among practitioners referred to PSR and by the range of commercial medical record systems in use across Australia </w:t>
      </w:r>
    </w:p>
    <w:p w:rsidR="00FA6C41" w:rsidRPr="00FA6C41" w:rsidRDefault="00FA6C41" w:rsidP="004C030E">
      <w:pPr>
        <w:pStyle w:val="ListBullet"/>
        <w:rPr>
          <w:lang w:val="en-GB"/>
        </w:rPr>
      </w:pPr>
      <w:proofErr w:type="gramStart"/>
      <w:r w:rsidRPr="00FA6C41">
        <w:rPr>
          <w:lang w:val="en-GB"/>
        </w:rPr>
        <w:t>initiatives</w:t>
      </w:r>
      <w:proofErr w:type="gramEnd"/>
      <w:r w:rsidRPr="00FA6C41">
        <w:rPr>
          <w:lang w:val="en-GB"/>
        </w:rPr>
        <w:t xml:space="preserve"> to speed up PSR processes—often inherently drawn out given the multiple steps laid out in the Health Insurance Act—where they are within PSR’s direct control. One area is the preparation of draft reports of committee hearings.</w:t>
      </w:r>
    </w:p>
    <w:p w:rsidR="00FA6C41" w:rsidRPr="00FA6C41" w:rsidRDefault="00FA6C41" w:rsidP="00D177AD">
      <w:pPr>
        <w:pStyle w:val="bodytext"/>
      </w:pPr>
      <w:r w:rsidRPr="00FA6C41">
        <w:t>The PSR Advisory Committee (PSRAC), with membership from the Department of Health, the Department of Human Services, the Australian Medical Association and PSR, has been meeting each year. This is a valuable forum for raising policy and operational issues.</w:t>
      </w:r>
    </w:p>
    <w:p w:rsidR="00FA6C41" w:rsidRPr="00FA6C41" w:rsidRDefault="00FA6C41" w:rsidP="00D177AD">
      <w:pPr>
        <w:pStyle w:val="bodytext"/>
      </w:pPr>
      <w:proofErr w:type="gramStart"/>
      <w:r w:rsidRPr="00FA6C41">
        <w:t>Issues which PSR proposes raising at PSRAC</w:t>
      </w:r>
      <w:proofErr w:type="gramEnd"/>
      <w:r w:rsidRPr="00FA6C41">
        <w:t xml:space="preserve"> include a facilitated process for appointing members to the PSR Panel when a committee of peers of practitioners from disciplines not often referred to PSR is required. The current process can cause long delays in establishing a PSR peer committee.</w:t>
      </w:r>
    </w:p>
    <w:p w:rsidR="00FA6C41" w:rsidRPr="00FA6C41" w:rsidRDefault="00FA6C41" w:rsidP="00FA6C41">
      <w:pPr>
        <w:pStyle w:val="Heading2"/>
      </w:pPr>
      <w:bookmarkStart w:id="13" w:name="_Toc275439453"/>
      <w:bookmarkStart w:id="14" w:name="_Toc276039549"/>
      <w:bookmarkStart w:id="15" w:name="_Toc276040154"/>
      <w:r w:rsidRPr="00FA6C41">
        <w:t>Conclusion</w:t>
      </w:r>
      <w:bookmarkEnd w:id="13"/>
      <w:bookmarkEnd w:id="14"/>
      <w:bookmarkEnd w:id="15"/>
    </w:p>
    <w:p w:rsidR="00FA6C41" w:rsidRPr="00FA6C41" w:rsidRDefault="00FA6C41" w:rsidP="00D177AD">
      <w:pPr>
        <w:pStyle w:val="bodytext"/>
      </w:pPr>
      <w:r w:rsidRPr="00FA6C41">
        <w:t>As Director I would like to acknowledge the individual practitioners on the PSR Panel, without whom PSR could not function and who provide their time and expertise so willingly.</w:t>
      </w:r>
    </w:p>
    <w:p w:rsidR="00FA6C41" w:rsidRPr="00FA6C41" w:rsidRDefault="00FA6C41" w:rsidP="00D177AD">
      <w:pPr>
        <w:pStyle w:val="bodytext"/>
      </w:pPr>
      <w:r w:rsidRPr="00FA6C41">
        <w:t>I would also like to acknowledge the cooperation and professionalism of the officers of the Department of Health and the Department of Human Services with whom PSR liaises on a regular basis.</w:t>
      </w:r>
    </w:p>
    <w:p w:rsidR="00FA6C41" w:rsidRPr="00FA6C41" w:rsidRDefault="00FA6C41" w:rsidP="00D177AD">
      <w:pPr>
        <w:pStyle w:val="bodytext"/>
      </w:pPr>
      <w:r w:rsidRPr="00FA6C41">
        <w:t>Finally I would like to acknowledge the professionalism and commitment of Patricia O’Farrell, PSR’s Executive Officer, and all PSR staff, who cooperate so willingly as the organisation continually adapts to a changing and ever more complex legal and organisational environment.</w:t>
      </w:r>
    </w:p>
    <w:p w:rsidR="00FA6C41" w:rsidRDefault="00FA6C41" w:rsidP="00D177AD">
      <w:pPr>
        <w:pStyle w:val="bodytext"/>
        <w:rPr>
          <w:rFonts w:ascii="ArialNarrow" w:hAnsi="ArialNarrow" w:cs="ArialNarrow"/>
          <w:szCs w:val="22"/>
        </w:rPr>
      </w:pPr>
    </w:p>
    <w:p w:rsidR="006E5DFF" w:rsidRPr="00FA6C41" w:rsidRDefault="006E5DFF" w:rsidP="00D177AD">
      <w:pPr>
        <w:pStyle w:val="bodytext"/>
        <w:rPr>
          <w:rFonts w:ascii="ArialNarrow" w:hAnsi="ArialNarrow" w:cs="ArialNarrow"/>
          <w:szCs w:val="22"/>
        </w:rPr>
      </w:pPr>
      <w:r>
        <w:rPr>
          <w:rFonts w:ascii="ArialNarrow" w:hAnsi="ArialNarrow" w:cs="ArialNarrow"/>
          <w:noProof/>
          <w:szCs w:val="22"/>
        </w:rPr>
        <w:drawing>
          <wp:inline distT="0" distB="0" distL="0" distR="0">
            <wp:extent cx="1499235" cy="563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99235" cy="563245"/>
                    </a:xfrm>
                    <a:prstGeom prst="rect">
                      <a:avLst/>
                    </a:prstGeom>
                    <a:noFill/>
                    <a:ln>
                      <a:noFill/>
                    </a:ln>
                  </pic:spPr>
                </pic:pic>
              </a:graphicData>
            </a:graphic>
          </wp:inline>
        </w:drawing>
      </w:r>
    </w:p>
    <w:p w:rsidR="00FA6C41" w:rsidRPr="00FA6C41" w:rsidRDefault="00FA6C41" w:rsidP="00D177AD">
      <w:pPr>
        <w:pStyle w:val="bodytext"/>
        <w:rPr>
          <w:rFonts w:ascii="TimesNewRomanPSMT" w:hAnsi="TimesNewRomanPSMT" w:cs="TimesNewRomanPSMT"/>
        </w:rPr>
      </w:pPr>
    </w:p>
    <w:p w:rsidR="00A21306" w:rsidRDefault="00FA6C41" w:rsidP="00D177AD">
      <w:pPr>
        <w:pStyle w:val="bodytext"/>
      </w:pPr>
      <w:r w:rsidRPr="00FA6C41">
        <w:t>Dr Bill Coote</w:t>
      </w:r>
      <w:r w:rsidRPr="00FA6C41">
        <w:br/>
        <w:t>Director</w:t>
      </w:r>
      <w:r w:rsidRPr="00FA6C41">
        <w:br/>
        <w:t>Professional Servi</w:t>
      </w:r>
      <w:r w:rsidR="00A21306">
        <w:t>ces Review</w:t>
      </w:r>
      <w:bookmarkStart w:id="16" w:name="_Toc275439454"/>
      <w:bookmarkStart w:id="17" w:name="_Toc276040155"/>
    </w:p>
    <w:p w:rsidR="00A21306" w:rsidRDefault="00A21306" w:rsidP="00A21306">
      <w:pPr>
        <w:sectPr w:rsidR="00A21306" w:rsidSect="00FD6893">
          <w:footerReference w:type="default" r:id="rId8"/>
          <w:pgSz w:w="11906" w:h="16838"/>
          <w:pgMar w:top="567" w:right="720" w:bottom="1021" w:left="720" w:footer="284" w:gutter="0"/>
          <w:pgNumType w:fmt="lowerRoman" w:start="1" w:chapStyle="1"/>
          <w:noEndnote/>
          <w:titlePg/>
        </w:sectPr>
      </w:pPr>
    </w:p>
    <w:p w:rsidR="00FA6C41" w:rsidRPr="00FA6C41" w:rsidRDefault="00CE22CE" w:rsidP="00A21306">
      <w:pPr>
        <w:pStyle w:val="Heading1"/>
      </w:pPr>
      <w:r>
        <w:t xml:space="preserve">1 </w:t>
      </w:r>
      <w:r w:rsidR="00FA6C41" w:rsidRPr="00FA6C41">
        <w:t>Agency overview</w:t>
      </w:r>
      <w:bookmarkEnd w:id="16"/>
      <w:bookmarkEnd w:id="17"/>
    </w:p>
    <w:p w:rsidR="00FA6C41" w:rsidRPr="00FA6C41" w:rsidRDefault="00FA6C41" w:rsidP="00FA6C41">
      <w:pPr>
        <w:pStyle w:val="Heading2"/>
      </w:pPr>
      <w:bookmarkStart w:id="18" w:name="_Toc275439455"/>
      <w:bookmarkStart w:id="19" w:name="_Toc276040156"/>
      <w:r w:rsidRPr="00FA6C41">
        <w:t>The Professional Services Review Scheme</w:t>
      </w:r>
      <w:bookmarkEnd w:id="18"/>
      <w:bookmarkEnd w:id="19"/>
    </w:p>
    <w:p w:rsidR="00FA6C41" w:rsidRPr="00FA6C41" w:rsidRDefault="00FA6C41" w:rsidP="00D21D48">
      <w:pPr>
        <w:pStyle w:val="bodytext"/>
      </w:pPr>
      <w:r w:rsidRPr="00FA6C41">
        <w:t xml:space="preserve">The high quality and integrity of Australia’s health system is recognised internationally. Preventing inappropriate practice is crucial to maintaining this quality and integrity. Preventing inappropriate practice assists in maintaining the confidence of the Australian public in the health practitioners operating within the system and in minimising financial loss to the community as a result of inappropriate practice.  </w:t>
      </w:r>
    </w:p>
    <w:p w:rsidR="00FA6C41" w:rsidRPr="00FA6C41" w:rsidRDefault="00FA6C41" w:rsidP="00FA6C41">
      <w:pPr>
        <w:pStyle w:val="Heading2"/>
      </w:pPr>
      <w:bookmarkStart w:id="20" w:name="_Toc275439456"/>
      <w:bookmarkStart w:id="21" w:name="_Toc276040157"/>
      <w:r w:rsidRPr="00FA6C41">
        <w:t>About the Professional Services Review Agency</w:t>
      </w:r>
      <w:bookmarkEnd w:id="20"/>
      <w:bookmarkEnd w:id="21"/>
    </w:p>
    <w:p w:rsidR="00FA6C41" w:rsidRPr="00FA6C41" w:rsidRDefault="00FA6C41" w:rsidP="00D21D48">
      <w:pPr>
        <w:pStyle w:val="bodytext"/>
      </w:pPr>
      <w:r w:rsidRPr="00FA6C41">
        <w:t xml:space="preserve">PSR operates as an independent agency within the Australian Government’s Health portfolio, and reports directly to the Minister for Health. Together, the Director and staff form a statutory agency under the </w:t>
      </w:r>
      <w:r w:rsidRPr="00FA6C41">
        <w:rPr>
          <w:i/>
        </w:rPr>
        <w:t>Public Service Act 1999.</w:t>
      </w:r>
    </w:p>
    <w:p w:rsidR="00FA6C41" w:rsidRPr="00FA6C41" w:rsidRDefault="00FA6C41" w:rsidP="00D21D48">
      <w:pPr>
        <w:pStyle w:val="bodytext"/>
      </w:pPr>
      <w:r w:rsidRPr="00FA6C41">
        <w:t>To help guide our performance we have defined our own values and behaviours, which are underpinned by the Australian Public Service (APS) Values. Our values and behaviours —</w:t>
      </w:r>
      <w:r w:rsidRPr="00FA6C41">
        <w:rPr>
          <w:b/>
        </w:rPr>
        <w:t>fair, transparent</w:t>
      </w:r>
      <w:r w:rsidRPr="00FA6C41">
        <w:t xml:space="preserve"> and </w:t>
      </w:r>
      <w:r w:rsidRPr="00FA6C41">
        <w:rPr>
          <w:b/>
        </w:rPr>
        <w:t>professional</w:t>
      </w:r>
      <w:r w:rsidRPr="00FA6C41">
        <w:t>—address the unique aspects of our business and environment and guide us in performing our role.</w:t>
      </w:r>
    </w:p>
    <w:p w:rsidR="00FA6C41" w:rsidRPr="00FA6C41" w:rsidRDefault="00FA6C41" w:rsidP="00FA6C41">
      <w:pPr>
        <w:pStyle w:val="Heading2"/>
      </w:pPr>
      <w:bookmarkStart w:id="22" w:name="_Toc275439457"/>
      <w:bookmarkStart w:id="23" w:name="_Toc276040158"/>
      <w:r w:rsidRPr="00FA6C41">
        <w:t>Our stakeholders</w:t>
      </w:r>
      <w:bookmarkEnd w:id="22"/>
      <w:bookmarkEnd w:id="23"/>
    </w:p>
    <w:p w:rsidR="00FA6C41" w:rsidRPr="00FA6C41" w:rsidRDefault="00FA6C41" w:rsidP="00D21D48">
      <w:pPr>
        <w:pStyle w:val="bodytext"/>
      </w:pPr>
      <w:r w:rsidRPr="00FA6C41">
        <w:t>During 2013–14, PSR continued to work closely with key stakeholders to improve its operations. PSR stakeholders include the Department of Health, the Department of Human Services (DHS), the Australian Medical Association (AMA) and other relevant professional organisations. The Director of PSR has engaged with a broad range of stakeholders to provide information on the activities and outcomes of the PSR Scheme.</w:t>
      </w:r>
    </w:p>
    <w:p w:rsidR="00FA6C41" w:rsidRPr="00FA6C41" w:rsidRDefault="00FA6C41" w:rsidP="00FA6C41">
      <w:pPr>
        <w:pStyle w:val="Heading2"/>
      </w:pPr>
      <w:bookmarkStart w:id="24" w:name="_Toc275439458"/>
      <w:bookmarkStart w:id="25" w:name="_Toc276040159"/>
      <w:r w:rsidRPr="00FA6C41">
        <w:t>Agency and scheme objectives</w:t>
      </w:r>
      <w:bookmarkEnd w:id="24"/>
      <w:bookmarkEnd w:id="25"/>
    </w:p>
    <w:p w:rsidR="00FA6C41" w:rsidRPr="00FA6C41" w:rsidRDefault="00FA6C41" w:rsidP="00D21D48">
      <w:pPr>
        <w:pStyle w:val="bodytext"/>
      </w:pPr>
      <w:r w:rsidRPr="00FA6C41">
        <w:t xml:space="preserve">The role and functions of PSR are set out in Part VAA of the </w:t>
      </w:r>
      <w:r w:rsidRPr="00FA6C41">
        <w:rPr>
          <w:i/>
        </w:rPr>
        <w:t>Health Insurance Act 1973</w:t>
      </w:r>
      <w:r w:rsidRPr="00FA6C41">
        <w:t>, which establishes the PSR Scheme. Section 79A of the Act states:</w:t>
      </w:r>
    </w:p>
    <w:p w:rsidR="00FA6C41" w:rsidRPr="00FA6C41" w:rsidRDefault="00FA6C41" w:rsidP="00D21D48">
      <w:pPr>
        <w:pStyle w:val="bodytext"/>
      </w:pPr>
      <w:r w:rsidRPr="00FA6C41">
        <w:t>The object of this Part is to protect the integrity of the Commonwealth Medicare benefits and pharmaceutical benefits programs and, in doing so:</w:t>
      </w:r>
    </w:p>
    <w:p w:rsidR="00FA6C41" w:rsidRPr="00FA6C41" w:rsidRDefault="00FA6C41" w:rsidP="00FA6C41">
      <w:pPr>
        <w:pStyle w:val="ListBullet"/>
        <w:numPr>
          <w:ilvl w:val="0"/>
          <w:numId w:val="13"/>
        </w:numPr>
        <w:rPr>
          <w:lang w:val="en-GB"/>
        </w:rPr>
      </w:pPr>
      <w:proofErr w:type="gramStart"/>
      <w:r w:rsidRPr="00FA6C41">
        <w:rPr>
          <w:lang w:val="en-GB"/>
        </w:rPr>
        <w:t>protect</w:t>
      </w:r>
      <w:proofErr w:type="gramEnd"/>
      <w:r w:rsidRPr="00FA6C41">
        <w:rPr>
          <w:lang w:val="en-GB"/>
        </w:rPr>
        <w:t xml:space="preserve"> patients and the community in general from the risks associated with inappropriate practice; and</w:t>
      </w:r>
    </w:p>
    <w:p w:rsidR="00FA6C41" w:rsidRPr="00FA6C41" w:rsidRDefault="00FA6C41" w:rsidP="00FA6C41">
      <w:pPr>
        <w:pStyle w:val="ListBullet"/>
        <w:numPr>
          <w:ilvl w:val="0"/>
          <w:numId w:val="13"/>
        </w:numPr>
        <w:rPr>
          <w:lang w:val="en-GB"/>
        </w:rPr>
      </w:pPr>
      <w:proofErr w:type="gramStart"/>
      <w:r w:rsidRPr="00FA6C41">
        <w:rPr>
          <w:lang w:val="en-GB"/>
        </w:rPr>
        <w:t>protect</w:t>
      </w:r>
      <w:proofErr w:type="gramEnd"/>
      <w:r w:rsidRPr="00FA6C41">
        <w:rPr>
          <w:lang w:val="en-GB"/>
        </w:rPr>
        <w:t xml:space="preserve"> the Commonwealth from having to meet the cost of services provided as a result of inappropriate practice.</w:t>
      </w:r>
    </w:p>
    <w:p w:rsidR="00FA6C41" w:rsidRPr="00FA6C41" w:rsidRDefault="00FA6C41" w:rsidP="00D21D48">
      <w:pPr>
        <w:pStyle w:val="bodytext"/>
      </w:pPr>
      <w:proofErr w:type="gramStart"/>
      <w:r w:rsidRPr="00FA6C41">
        <w:t>Section 81 of the Act, sets out the medical and allied practitioners that are subject to review under Part VAA.</w:t>
      </w:r>
      <w:proofErr w:type="gramEnd"/>
    </w:p>
    <w:p w:rsidR="00FA6C41" w:rsidRPr="00FA6C41" w:rsidRDefault="00A032AA" w:rsidP="00FA6C41">
      <w:pPr>
        <w:pStyle w:val="Heading2"/>
      </w:pPr>
      <w:bookmarkStart w:id="26" w:name="_Toc275439459"/>
      <w:bookmarkStart w:id="27" w:name="_Toc276040160"/>
      <w:r>
        <w:br w:type="page"/>
      </w:r>
      <w:r w:rsidR="00FA6C41" w:rsidRPr="00FA6C41">
        <w:t>Agency outcome</w:t>
      </w:r>
      <w:bookmarkEnd w:id="26"/>
      <w:bookmarkEnd w:id="27"/>
    </w:p>
    <w:p w:rsidR="00FA6C41" w:rsidRPr="00FA6C41" w:rsidRDefault="00FA6C41" w:rsidP="00D21D48">
      <w:pPr>
        <w:pStyle w:val="bodytext"/>
      </w:pPr>
      <w:r w:rsidRPr="00FA6C41">
        <w:t>Outcomes are the Government’s intended results, benefits or consequences for the Australian community. The Government requires agencies such as PSR to use outcomes as a basis for budgeting, measuring performance and reporting. Annual administered funding is appropriated on an outcomes basis.</w:t>
      </w:r>
    </w:p>
    <w:p w:rsidR="00FA6C41" w:rsidRPr="00FA6C41" w:rsidRDefault="00FA6C41" w:rsidP="00D21D48">
      <w:pPr>
        <w:pStyle w:val="bodytext"/>
      </w:pPr>
      <w:r w:rsidRPr="00FA6C41">
        <w:t xml:space="preserve">The PSR Agency is accountable for delivering one of 31 outcomes allocated to the federal Health portfolio. The PSR outcome is:  </w:t>
      </w:r>
    </w:p>
    <w:p w:rsidR="00FA6C41" w:rsidRPr="00FA6C41" w:rsidRDefault="00FA6C41" w:rsidP="00FA6C41">
      <w:pPr>
        <w:ind w:left="709"/>
        <w:rPr>
          <w:rFonts w:ascii="SamoSansPro-LightItalic" w:hAnsi="SamoSansPro-LightItalic" w:cs="SamoSansPro-LightItalic"/>
          <w:i/>
          <w:iCs/>
          <w:lang w:val="en-GB"/>
        </w:rPr>
      </w:pPr>
      <w:r w:rsidRPr="00FA6C41">
        <w:rPr>
          <w:lang w:val="en-GB"/>
        </w:rPr>
        <w:tab/>
        <w:t>A reduction of the risks to patients and costs to the Australian Government of inappropriate clinical practice, including through investigating health services claimed under the Medicare and Pharmaceutical Benefits Schemes.</w:t>
      </w:r>
    </w:p>
    <w:p w:rsidR="00FA6C41" w:rsidRPr="00FA6C41" w:rsidRDefault="00FA6C41" w:rsidP="00FA6C41">
      <w:pPr>
        <w:pStyle w:val="Heading2"/>
      </w:pPr>
      <w:bookmarkStart w:id="28" w:name="_Toc275439460"/>
      <w:bookmarkStart w:id="29" w:name="_Toc276040161"/>
      <w:r w:rsidRPr="00FA6C41">
        <w:t>Agency delivery of outcome</w:t>
      </w:r>
      <w:bookmarkEnd w:id="28"/>
      <w:bookmarkEnd w:id="29"/>
    </w:p>
    <w:p w:rsidR="00FA6C41" w:rsidRPr="00FA6C41" w:rsidRDefault="00FA6C41" w:rsidP="00D21D48">
      <w:pPr>
        <w:pStyle w:val="bodytext"/>
      </w:pPr>
      <w:r w:rsidRPr="00FA6C41">
        <w:t>The PSR Scheme delivers on this outcome by protecting the public from:</w:t>
      </w:r>
    </w:p>
    <w:p w:rsidR="00FA6C41" w:rsidRPr="00FA6C41" w:rsidRDefault="00FA6C41" w:rsidP="00FA6C41">
      <w:pPr>
        <w:pStyle w:val="ListBullet"/>
        <w:rPr>
          <w:lang w:val="en-GB"/>
        </w:rPr>
      </w:pPr>
      <w:proofErr w:type="gramStart"/>
      <w:r w:rsidRPr="00FA6C41">
        <w:rPr>
          <w:lang w:val="en-GB"/>
        </w:rPr>
        <w:t>inappropriate</w:t>
      </w:r>
      <w:proofErr w:type="gramEnd"/>
      <w:r w:rsidRPr="00FA6C41">
        <w:rPr>
          <w:lang w:val="en-GB"/>
        </w:rPr>
        <w:t xml:space="preserve"> practice by ensuring that the Commonwealth-funded services delivered by practitioners are clinically relevant</w:t>
      </w:r>
    </w:p>
    <w:p w:rsidR="00FA6C41" w:rsidRPr="00FA6C41" w:rsidRDefault="00FA6C41" w:rsidP="00FA6C41">
      <w:pPr>
        <w:pStyle w:val="ListBullet"/>
        <w:rPr>
          <w:lang w:val="en-GB"/>
        </w:rPr>
      </w:pPr>
      <w:proofErr w:type="gramStart"/>
      <w:r w:rsidRPr="00FA6C41">
        <w:rPr>
          <w:lang w:val="en-GB"/>
        </w:rPr>
        <w:t>the</w:t>
      </w:r>
      <w:proofErr w:type="gramEnd"/>
      <w:r w:rsidRPr="00FA6C41">
        <w:rPr>
          <w:lang w:val="en-GB"/>
        </w:rPr>
        <w:t xml:space="preserve"> consequences of inappropriate practice by ensuring that payments to claimants are made in accordance with the regulations for the Medicare and Pharmaceutical Benefits Scheme schedules. </w:t>
      </w:r>
    </w:p>
    <w:p w:rsidR="00FA6C41" w:rsidRPr="00FA6C41" w:rsidRDefault="00FA6C41" w:rsidP="00D21D48">
      <w:pPr>
        <w:pStyle w:val="bodytext"/>
      </w:pPr>
      <w:r w:rsidRPr="00FA6C41">
        <w:t>The PSR Scheme has continued to evolve since its inception. Legislative amendments were made in 1997, 1999, 2002, 2006 and 2012 to strengthen the professional review process. Comprehensive reviews conducted in 1999 and 2006 by government and key stakeholders, and a Senate inquiry in 2011, also made recommendations to refine the administration of the scheme and improve its effectiveness and transparency.</w:t>
      </w:r>
    </w:p>
    <w:p w:rsidR="00FA6C41" w:rsidRPr="00FA6C41" w:rsidRDefault="00FA6C41" w:rsidP="00D21D48">
      <w:pPr>
        <w:pStyle w:val="bodytext"/>
      </w:pPr>
      <w:r w:rsidRPr="00FA6C41">
        <w:t>PSR has acted on the recommendations from these enquiries and continued to strengthen its governance processes and to build capacity within the agency to deliver a rigorous peer review scheme which affords procedural fairness to practitioners and meets its outcome in protecting the integrity of Medicare and the Pharmaceutical Benefits Scheme.</w:t>
      </w:r>
    </w:p>
    <w:p w:rsidR="00FA6C41" w:rsidRPr="00FA6C41" w:rsidRDefault="00FA6C41" w:rsidP="00FA6C41">
      <w:pPr>
        <w:pStyle w:val="Heading2"/>
      </w:pPr>
      <w:bookmarkStart w:id="30" w:name="_Toc275439461"/>
      <w:bookmarkStart w:id="31" w:name="_Toc276040162"/>
      <w:r w:rsidRPr="00FA6C41">
        <w:t>The future</w:t>
      </w:r>
      <w:bookmarkEnd w:id="30"/>
      <w:bookmarkEnd w:id="31"/>
    </w:p>
    <w:p w:rsidR="00FA6C41" w:rsidRPr="00FA6C41" w:rsidRDefault="00FA6C41" w:rsidP="00D21D48">
      <w:pPr>
        <w:pStyle w:val="bodytext"/>
      </w:pPr>
      <w:r w:rsidRPr="00FA6C41">
        <w:t>As the Medicare Benefits Schedule becomes more complex, and with the expansion of the health professions whose services attract Medicare benefits, PSR must maintain the organisational agility required to meet these changes and challenges.</w:t>
      </w:r>
    </w:p>
    <w:p w:rsidR="00FA6C41" w:rsidRPr="00FA6C41" w:rsidRDefault="00FA6C41" w:rsidP="00FA6C41">
      <w:pPr>
        <w:widowControl w:val="0"/>
        <w:suppressAutoHyphens/>
        <w:autoSpaceDE w:val="0"/>
        <w:autoSpaceDN w:val="0"/>
        <w:adjustRightInd w:val="0"/>
        <w:spacing w:after="200" w:line="264" w:lineRule="auto"/>
        <w:textAlignment w:val="center"/>
        <w:rPr>
          <w:rFonts w:ascii="Calibri" w:hAnsi="Calibri" w:cs="Calibri"/>
          <w:color w:val="000000"/>
          <w:szCs w:val="22"/>
          <w:lang w:val="en-AU"/>
        </w:rPr>
      </w:pPr>
    </w:p>
    <w:p w:rsidR="00FA6C41" w:rsidRPr="00FA6C41" w:rsidRDefault="00CE22CE" w:rsidP="00FA6C41">
      <w:pPr>
        <w:pStyle w:val="Heading1"/>
      </w:pPr>
      <w:bookmarkStart w:id="32" w:name="_Toc275439462"/>
      <w:bookmarkStart w:id="33" w:name="_Toc276040163"/>
      <w:r>
        <w:t xml:space="preserve">2 </w:t>
      </w:r>
      <w:r w:rsidR="00FA6C41" w:rsidRPr="00FA6C41">
        <w:t>Report on performance</w:t>
      </w:r>
      <w:bookmarkEnd w:id="32"/>
      <w:bookmarkEnd w:id="33"/>
    </w:p>
    <w:p w:rsidR="00FA6C41" w:rsidRPr="00FA6C41" w:rsidRDefault="00FA6C41" w:rsidP="00FA6C41">
      <w:pPr>
        <w:pStyle w:val="Heading2"/>
      </w:pPr>
      <w:bookmarkStart w:id="34" w:name="_Toc275439463"/>
      <w:bookmarkStart w:id="35" w:name="_Toc276040164"/>
      <w:r w:rsidRPr="00FA6C41">
        <w:t>Outcome and program aims and major activities</w:t>
      </w:r>
      <w:bookmarkEnd w:id="34"/>
      <w:bookmarkEnd w:id="35"/>
    </w:p>
    <w:p w:rsidR="00FA6C41" w:rsidRPr="00FA6C41" w:rsidRDefault="00FA6C41" w:rsidP="00D21D48">
      <w:pPr>
        <w:pStyle w:val="bodytext"/>
      </w:pPr>
      <w:r w:rsidRPr="00FA6C41">
        <w:t xml:space="preserve">The PSR Agency contributes to the Australian Government’s Health portfolio outcomes. </w:t>
      </w:r>
    </w:p>
    <w:p w:rsidR="00FA6C41" w:rsidRPr="00FA6C41" w:rsidRDefault="00FA6C41" w:rsidP="00D21D48">
      <w:pPr>
        <w:pStyle w:val="bodytext"/>
      </w:pPr>
      <w:r w:rsidRPr="00FA6C41">
        <w:t xml:space="preserve">The PSR Scheme is funded to ensure that requests by Medicare (part of the Department of Human Services (DHS)) to investigate suspected cases of inappropriate practice are reviewed and, if necessary, examined by a committee of the practitioner’s peers. </w:t>
      </w:r>
    </w:p>
    <w:p w:rsidR="00FA6C41" w:rsidRPr="00FA6C41" w:rsidRDefault="00FA6C41" w:rsidP="00D21D48">
      <w:pPr>
        <w:pStyle w:val="bodytext"/>
      </w:pPr>
      <w:r w:rsidRPr="00FA6C41">
        <w:t>PSR’s program aims to:</w:t>
      </w:r>
    </w:p>
    <w:p w:rsidR="00FA6C41" w:rsidRPr="00FA6C41" w:rsidRDefault="00FA6C41" w:rsidP="00FA6C41">
      <w:pPr>
        <w:pStyle w:val="ListBullet"/>
        <w:rPr>
          <w:lang w:val="en-GB"/>
        </w:rPr>
      </w:pPr>
      <w:proofErr w:type="gramStart"/>
      <w:r w:rsidRPr="00FA6C41">
        <w:rPr>
          <w:lang w:val="en-GB"/>
        </w:rPr>
        <w:t>protect</w:t>
      </w:r>
      <w:proofErr w:type="gramEnd"/>
      <w:r w:rsidRPr="00FA6C41">
        <w:rPr>
          <w:lang w:val="en-GB"/>
        </w:rPr>
        <w:t xml:space="preserve"> against inappropriate health care practice.</w:t>
      </w:r>
    </w:p>
    <w:p w:rsidR="00FA6C41" w:rsidRPr="00FA6C41" w:rsidRDefault="00FA6C41" w:rsidP="00FA6C41">
      <w:pPr>
        <w:pStyle w:val="ListBullet"/>
        <w:rPr>
          <w:lang w:val="en-GB"/>
        </w:rPr>
      </w:pPr>
      <w:proofErr w:type="gramStart"/>
      <w:r w:rsidRPr="00FA6C41">
        <w:rPr>
          <w:lang w:val="en-GB"/>
        </w:rPr>
        <w:t>maintain</w:t>
      </w:r>
      <w:proofErr w:type="gramEnd"/>
      <w:r w:rsidRPr="00FA6C41">
        <w:rPr>
          <w:lang w:val="en-GB"/>
        </w:rPr>
        <w:t xml:space="preserve"> professional support for PSR.</w:t>
      </w:r>
    </w:p>
    <w:p w:rsidR="00FA6C41" w:rsidRPr="00FA6C41" w:rsidRDefault="00FA6C41" w:rsidP="00FA6C41">
      <w:pPr>
        <w:pStyle w:val="Heading3"/>
        <w:rPr>
          <w:rFonts w:ascii="SamoSansPro-Regular" w:hAnsi="SamoSansPro-Regular" w:cs="SamoSansPro-Regular"/>
          <w:color w:val="002171"/>
          <w:sz w:val="21"/>
          <w:szCs w:val="21"/>
          <w:lang w:val="en-GB"/>
        </w:rPr>
      </w:pPr>
      <w:bookmarkStart w:id="36" w:name="_Toc275439464"/>
      <w:bookmarkStart w:id="37" w:name="_Toc276039560"/>
      <w:bookmarkStart w:id="38" w:name="_Toc276039923"/>
      <w:bookmarkStart w:id="39" w:name="_Toc276040165"/>
      <w:r w:rsidRPr="00FA6C41">
        <w:t>Protecting against</w:t>
      </w:r>
      <w:r w:rsidRPr="00FA6C41">
        <w:rPr>
          <w:rFonts w:ascii="SamoSansPro-Regular" w:hAnsi="SamoSansPro-Regular" w:cs="SamoSansPro-Regular"/>
          <w:color w:val="002171"/>
          <w:sz w:val="21"/>
          <w:szCs w:val="21"/>
          <w:lang w:val="en-GB"/>
        </w:rPr>
        <w:t xml:space="preserve"> </w:t>
      </w:r>
      <w:r w:rsidRPr="00FA6C41">
        <w:rPr>
          <w:lang w:val="en-GB"/>
        </w:rPr>
        <w:t>inappropriate healthcare practice</w:t>
      </w:r>
      <w:bookmarkEnd w:id="36"/>
      <w:bookmarkEnd w:id="37"/>
      <w:bookmarkEnd w:id="38"/>
      <w:bookmarkEnd w:id="39"/>
    </w:p>
    <w:p w:rsidR="00FA6C41" w:rsidRPr="00FA6C41" w:rsidRDefault="00FA6C41" w:rsidP="00D21D48">
      <w:pPr>
        <w:pStyle w:val="bodytext"/>
      </w:pPr>
      <w:r w:rsidRPr="00FA6C41">
        <w:t>During the 2013–14 financial year, PSR continued to investigate healthcare professionals, refer matters to PSR committees, progress PSR committee hearings, support the Determining Authority in its determination of sanctions and consideration of negotiated agreements, and refer behaviour that may be a threat to the life or health of patients, or that fails to meet professional standards, to the relevant bodies for appropriate action.</w:t>
      </w:r>
    </w:p>
    <w:p w:rsidR="00FA6C41" w:rsidRPr="00FA6C41" w:rsidRDefault="00FA6C41" w:rsidP="00D21D48">
      <w:pPr>
        <w:pStyle w:val="bodytext"/>
      </w:pPr>
      <w:r w:rsidRPr="00FA6C41">
        <w:t>A summary of outcomes is provided in the ‘Professional Services Review Agency performance’ section of this report.</w:t>
      </w:r>
    </w:p>
    <w:p w:rsidR="00FA6C41" w:rsidRPr="00FA6C41" w:rsidRDefault="00FA6C41" w:rsidP="00FA6C41">
      <w:pPr>
        <w:pStyle w:val="Heading3"/>
        <w:rPr>
          <w:lang w:val="en-GB"/>
        </w:rPr>
      </w:pPr>
      <w:bookmarkStart w:id="40" w:name="_Toc275439465"/>
      <w:bookmarkStart w:id="41" w:name="_Toc276039561"/>
      <w:bookmarkStart w:id="42" w:name="_Toc276039924"/>
      <w:bookmarkStart w:id="43" w:name="_Toc276040166"/>
      <w:r w:rsidRPr="00FA6C41">
        <w:rPr>
          <w:lang w:val="en-GB"/>
        </w:rPr>
        <w:t>Maintaining professional support for PSR</w:t>
      </w:r>
      <w:bookmarkEnd w:id="40"/>
      <w:bookmarkEnd w:id="41"/>
      <w:bookmarkEnd w:id="42"/>
      <w:bookmarkEnd w:id="43"/>
    </w:p>
    <w:p w:rsidR="00FA6C41" w:rsidRPr="00FA6C41" w:rsidRDefault="00FA6C41" w:rsidP="00D21D48">
      <w:pPr>
        <w:pStyle w:val="bodytext"/>
      </w:pPr>
      <w:r w:rsidRPr="00FA6C41">
        <w:t>During 2013–14, the Director of PSR engaged with a broad range of stakeholders to provide information on the activities and outcomes of the PSR Scheme. These stakeholders include:</w:t>
      </w:r>
    </w:p>
    <w:p w:rsidR="00FA6C41" w:rsidRPr="00FA6C41" w:rsidRDefault="00FA6C41" w:rsidP="00FA6C41">
      <w:pPr>
        <w:pStyle w:val="ListBullet"/>
        <w:rPr>
          <w:lang w:val="en-GB"/>
        </w:rPr>
      </w:pPr>
      <w:r w:rsidRPr="00FA6C41">
        <w:rPr>
          <w:lang w:val="en-GB"/>
        </w:rPr>
        <w:t xml:space="preserve">Royal Australian College of General Practitioners </w:t>
      </w:r>
    </w:p>
    <w:p w:rsidR="00FA6C41" w:rsidRPr="00FA6C41" w:rsidRDefault="00FA6C41" w:rsidP="00FA6C41">
      <w:pPr>
        <w:pStyle w:val="ListBullet"/>
        <w:rPr>
          <w:lang w:val="en-GB"/>
        </w:rPr>
      </w:pPr>
      <w:r w:rsidRPr="00FA6C41">
        <w:rPr>
          <w:lang w:val="en-GB"/>
        </w:rPr>
        <w:t>Royal Australasian College of Surgeons</w:t>
      </w:r>
    </w:p>
    <w:p w:rsidR="00FA6C41" w:rsidRPr="00FA6C41" w:rsidRDefault="00FA6C41" w:rsidP="00FA6C41">
      <w:pPr>
        <w:pStyle w:val="ListBullet"/>
        <w:rPr>
          <w:lang w:val="en-GB"/>
        </w:rPr>
      </w:pPr>
      <w:r w:rsidRPr="00FA6C41">
        <w:rPr>
          <w:lang w:val="en-GB"/>
        </w:rPr>
        <w:t>Royal Australasian College of Physicians</w:t>
      </w:r>
    </w:p>
    <w:p w:rsidR="00FA6C41" w:rsidRPr="00FA6C41" w:rsidRDefault="00FA6C41" w:rsidP="00FA6C41">
      <w:pPr>
        <w:pStyle w:val="ListBullet"/>
        <w:rPr>
          <w:lang w:val="en-GB"/>
        </w:rPr>
      </w:pPr>
      <w:r w:rsidRPr="00FA6C41">
        <w:rPr>
          <w:lang w:val="en-GB"/>
        </w:rPr>
        <w:t>Optometrists Association of Australia</w:t>
      </w:r>
    </w:p>
    <w:p w:rsidR="00FA6C41" w:rsidRPr="00FA6C41" w:rsidRDefault="00FA6C41" w:rsidP="00FA6C41">
      <w:pPr>
        <w:pStyle w:val="ListBullet"/>
        <w:rPr>
          <w:lang w:val="en-GB"/>
        </w:rPr>
      </w:pPr>
      <w:r w:rsidRPr="00FA6C41">
        <w:rPr>
          <w:lang w:val="en-GB"/>
        </w:rPr>
        <w:t>Chiropractors Association of Australia</w:t>
      </w:r>
    </w:p>
    <w:p w:rsidR="00FA6C41" w:rsidRPr="00FA6C41" w:rsidRDefault="00FA6C41" w:rsidP="00FA6C41">
      <w:pPr>
        <w:pStyle w:val="ListBullet"/>
        <w:rPr>
          <w:lang w:val="en-GB"/>
        </w:rPr>
      </w:pPr>
      <w:r w:rsidRPr="00FA6C41">
        <w:rPr>
          <w:lang w:val="en-GB"/>
        </w:rPr>
        <w:t>Australian Dental Association</w:t>
      </w:r>
    </w:p>
    <w:p w:rsidR="00FA6C41" w:rsidRPr="00FA6C41" w:rsidRDefault="00FA6C41" w:rsidP="00FA6C41">
      <w:pPr>
        <w:pStyle w:val="ListBullet"/>
        <w:rPr>
          <w:lang w:val="en-GB"/>
        </w:rPr>
      </w:pPr>
      <w:r w:rsidRPr="00FA6C41">
        <w:rPr>
          <w:lang w:val="en-GB"/>
        </w:rPr>
        <w:t>Australian Physiotherapy Association</w:t>
      </w:r>
    </w:p>
    <w:p w:rsidR="00FA6C41" w:rsidRPr="00FA6C41" w:rsidRDefault="00FA6C41" w:rsidP="00FA6C41">
      <w:pPr>
        <w:pStyle w:val="ListBullet"/>
        <w:rPr>
          <w:lang w:val="en-GB"/>
        </w:rPr>
      </w:pPr>
      <w:r w:rsidRPr="00FA6C41">
        <w:rPr>
          <w:lang w:val="en-GB"/>
        </w:rPr>
        <w:t>Australian Osteopathic Association</w:t>
      </w:r>
    </w:p>
    <w:p w:rsidR="00FA6C41" w:rsidRPr="00FA6C41" w:rsidRDefault="00FA6C41" w:rsidP="00FA6C41">
      <w:pPr>
        <w:pStyle w:val="ListBullet"/>
        <w:rPr>
          <w:lang w:val="en-GB"/>
        </w:rPr>
      </w:pPr>
      <w:r w:rsidRPr="00FA6C41">
        <w:rPr>
          <w:lang w:val="en-GB"/>
        </w:rPr>
        <w:t>Australasian Podiatry Council</w:t>
      </w:r>
    </w:p>
    <w:p w:rsidR="00FA6C41" w:rsidRPr="00FA6C41" w:rsidRDefault="00FA6C41" w:rsidP="00FA6C41">
      <w:pPr>
        <w:pStyle w:val="ListBullet"/>
        <w:rPr>
          <w:lang w:val="en-GB"/>
        </w:rPr>
      </w:pPr>
      <w:r w:rsidRPr="00FA6C41">
        <w:rPr>
          <w:lang w:val="en-GB"/>
        </w:rPr>
        <w:t>Australian College of Midwives</w:t>
      </w:r>
    </w:p>
    <w:p w:rsidR="00FA6C41" w:rsidRPr="00FA6C41" w:rsidRDefault="00FA6C41" w:rsidP="00FA6C41">
      <w:pPr>
        <w:pStyle w:val="ListBullet"/>
        <w:rPr>
          <w:lang w:val="en-GB"/>
        </w:rPr>
      </w:pPr>
      <w:r w:rsidRPr="00FA6C41">
        <w:rPr>
          <w:lang w:val="en-GB"/>
        </w:rPr>
        <w:t>Australian College of Nurse Practitioners</w:t>
      </w:r>
    </w:p>
    <w:p w:rsidR="00FA6C41" w:rsidRPr="00FA6C41" w:rsidRDefault="00FA6C41" w:rsidP="00FA6C41">
      <w:pPr>
        <w:pStyle w:val="ListBullet"/>
        <w:rPr>
          <w:lang w:val="en-GB"/>
        </w:rPr>
      </w:pPr>
      <w:r w:rsidRPr="00FA6C41">
        <w:rPr>
          <w:lang w:val="en-GB"/>
        </w:rPr>
        <w:t>Rural Doctors Association of Australia.</w:t>
      </w:r>
    </w:p>
    <w:p w:rsidR="00FA6C41" w:rsidRPr="00FA6C41" w:rsidRDefault="00FA6C41" w:rsidP="00FA6C41">
      <w:pPr>
        <w:pStyle w:val="Heading2"/>
      </w:pPr>
      <w:bookmarkStart w:id="44" w:name="_Toc275439466"/>
      <w:bookmarkStart w:id="45" w:name="_Toc276039925"/>
      <w:bookmarkStart w:id="46" w:name="_Toc276040167"/>
      <w:r w:rsidRPr="00FA6C41">
        <w:t>Professional Services Review Agency performance</w:t>
      </w:r>
      <w:bookmarkEnd w:id="44"/>
      <w:bookmarkEnd w:id="45"/>
      <w:bookmarkEnd w:id="46"/>
    </w:p>
    <w:p w:rsidR="00FA6C41" w:rsidRPr="00FA6C41" w:rsidRDefault="00FA6C41" w:rsidP="00D21D48">
      <w:pPr>
        <w:pStyle w:val="bodytext"/>
      </w:pPr>
      <w:r w:rsidRPr="00FA6C41">
        <w:t xml:space="preserve">The following outline of PSR’s performance relates to all activities it undertook during 2013–14. This included work on 36 cases already on hand at the beginning of the year, as well as 44 cases received during 2013–14. As PSR receives referrals from DHS throughout the year, case data cannot be reconciled within a </w:t>
      </w:r>
      <w:proofErr w:type="gramStart"/>
      <w:r w:rsidRPr="00FA6C41">
        <w:t>12 month</w:t>
      </w:r>
      <w:proofErr w:type="gramEnd"/>
      <w:r w:rsidRPr="00FA6C41">
        <w:t xml:space="preserve"> period.</w:t>
      </w:r>
    </w:p>
    <w:p w:rsidR="00FA6C41" w:rsidRPr="00FA6C41" w:rsidRDefault="00FA6C41" w:rsidP="00FA6C41">
      <w:pPr>
        <w:pStyle w:val="Heading3"/>
        <w:rPr>
          <w:lang w:val="en-GB"/>
        </w:rPr>
      </w:pPr>
      <w:bookmarkStart w:id="47" w:name="_Toc275439467"/>
      <w:bookmarkStart w:id="48" w:name="_Toc276039563"/>
      <w:bookmarkStart w:id="49" w:name="_Toc276039926"/>
      <w:bookmarkStart w:id="50" w:name="_Toc276040168"/>
      <w:r w:rsidRPr="00FA6C41">
        <w:rPr>
          <w:lang w:val="en-GB"/>
        </w:rPr>
        <w:t>New referrals from the Department of Human Services</w:t>
      </w:r>
      <w:bookmarkEnd w:id="47"/>
      <w:bookmarkEnd w:id="48"/>
      <w:bookmarkEnd w:id="49"/>
      <w:bookmarkEnd w:id="50"/>
    </w:p>
    <w:p w:rsidR="00FA6C41" w:rsidRPr="00FA6C41" w:rsidRDefault="00FA6C41" w:rsidP="00D21D48">
      <w:pPr>
        <w:pStyle w:val="bodytext"/>
      </w:pPr>
      <w:r w:rsidRPr="00FA6C41">
        <w:t>During 2013–14, DHS sent 44 requests for review to PSR. This is one fewer than the number of requests for review received in 2012–13.</w:t>
      </w:r>
    </w:p>
    <w:p w:rsidR="00FA6C41" w:rsidRPr="00FA6C41" w:rsidRDefault="00FA6C41" w:rsidP="00D21D48">
      <w:pPr>
        <w:pStyle w:val="bodytext"/>
      </w:pPr>
      <w:r w:rsidRPr="00FA6C41">
        <w:t>In 2013–14, PSR completed 47 cases. Of these, 15 were the subject of a decision by the PSR Director to take no further action, 24 were negotiated agreements that were ratified and became effective, six were final determinations that became effective, one resulted in a finding by the PSR committee of no inappropriate practice, and one was a case before the Federal Court that was resolved by consent orders. In addition, 10 cases were referred to a committee of peers.</w:t>
      </w:r>
    </w:p>
    <w:p w:rsidR="00FA6C41" w:rsidRPr="00FA6C41" w:rsidRDefault="00FA6C41" w:rsidP="00D21D48">
      <w:pPr>
        <w:pStyle w:val="bodytext"/>
      </w:pPr>
      <w:r w:rsidRPr="00FA6C41">
        <w:t>Table 1 lists PSR’s case statistics from 2012–13 to 2013–14.</w:t>
      </w:r>
    </w:p>
    <w:p w:rsidR="00FA6C41" w:rsidRPr="00555691" w:rsidRDefault="00FA6C41" w:rsidP="00555691">
      <w:pPr>
        <w:pStyle w:val="tabletitle"/>
      </w:pPr>
      <w:r w:rsidRPr="00555691">
        <w:t>Table 1: PSR case statistics 2012–13 to 2013–14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026"/>
        <w:gridCol w:w="1306"/>
        <w:gridCol w:w="1304"/>
      </w:tblGrid>
      <w:tr w:rsidR="00FA6C41" w:rsidRPr="00A84AA1">
        <w:trPr>
          <w:trHeight w:val="283"/>
        </w:trPr>
        <w:tc>
          <w:tcPr>
            <w:tcW w:w="3773" w:type="pct"/>
            <w:shd w:val="clear" w:color="1C6B91" w:fill="365F91" w:themeFill="accent1" w:themeFillShade="BF"/>
            <w:tcMar>
              <w:top w:w="85" w:type="dxa"/>
              <w:left w:w="85" w:type="dxa"/>
              <w:bottom w:w="85" w:type="dxa"/>
              <w:right w:w="85" w:type="dxa"/>
            </w:tcMar>
          </w:tcPr>
          <w:p w:rsidR="00FA6C41" w:rsidRPr="00395C65" w:rsidRDefault="00FA6C41" w:rsidP="00CE7895">
            <w:pPr>
              <w:pStyle w:val="tabletext"/>
              <w:rPr>
                <w:rFonts w:cs="Arial"/>
                <w:b/>
                <w:color w:val="FFFFFF" w:themeColor="background1"/>
                <w:sz w:val="22"/>
                <w:szCs w:val="22"/>
              </w:rPr>
            </w:pPr>
            <w:r w:rsidRPr="00395C65">
              <w:rPr>
                <w:rFonts w:cs="Arial"/>
                <w:b/>
                <w:color w:val="FFFFFF" w:themeColor="background1"/>
                <w:sz w:val="22"/>
                <w:szCs w:val="22"/>
              </w:rPr>
              <w:t>Action</w:t>
            </w:r>
          </w:p>
        </w:tc>
        <w:tc>
          <w:tcPr>
            <w:tcW w:w="614" w:type="pct"/>
            <w:shd w:val="clear" w:color="1C6B91" w:fill="365F91" w:themeFill="accent1" w:themeFillShade="BF"/>
            <w:tcMar>
              <w:top w:w="85" w:type="dxa"/>
              <w:left w:w="85" w:type="dxa"/>
              <w:bottom w:w="85" w:type="dxa"/>
              <w:right w:w="85" w:type="dxa"/>
            </w:tcMar>
          </w:tcPr>
          <w:p w:rsidR="00FA6C41" w:rsidRPr="00395C65" w:rsidRDefault="00FA6C41" w:rsidP="00CE7895">
            <w:pPr>
              <w:pStyle w:val="tabletext"/>
              <w:jc w:val="right"/>
              <w:rPr>
                <w:rFonts w:cs="Arial"/>
                <w:b/>
                <w:color w:val="FFFFFF" w:themeColor="background1"/>
                <w:sz w:val="22"/>
                <w:szCs w:val="22"/>
              </w:rPr>
            </w:pPr>
            <w:r w:rsidRPr="00395C65">
              <w:rPr>
                <w:rFonts w:cs="Arial"/>
                <w:b/>
                <w:color w:val="FFFFFF" w:themeColor="background1"/>
                <w:sz w:val="22"/>
                <w:szCs w:val="22"/>
              </w:rPr>
              <w:t>2012–13</w:t>
            </w:r>
          </w:p>
        </w:tc>
        <w:tc>
          <w:tcPr>
            <w:tcW w:w="614" w:type="pct"/>
            <w:shd w:val="clear" w:color="1C6B91" w:fill="365F91" w:themeFill="accent1" w:themeFillShade="BF"/>
            <w:tcMar>
              <w:top w:w="85" w:type="dxa"/>
              <w:left w:w="85" w:type="dxa"/>
              <w:bottom w:w="85" w:type="dxa"/>
              <w:right w:w="85" w:type="dxa"/>
            </w:tcMar>
          </w:tcPr>
          <w:p w:rsidR="00FA6C41" w:rsidRPr="00395C65" w:rsidRDefault="00FA6C41" w:rsidP="00CE7895">
            <w:pPr>
              <w:pStyle w:val="tabletext"/>
              <w:jc w:val="right"/>
              <w:rPr>
                <w:rFonts w:cs="Arial"/>
                <w:b/>
                <w:color w:val="FFFFFF" w:themeColor="background1"/>
                <w:sz w:val="22"/>
                <w:szCs w:val="22"/>
              </w:rPr>
            </w:pPr>
            <w:r w:rsidRPr="00395C65">
              <w:rPr>
                <w:rFonts w:cs="Arial"/>
                <w:b/>
                <w:color w:val="FFFFFF" w:themeColor="background1"/>
                <w:sz w:val="22"/>
                <w:szCs w:val="22"/>
              </w:rPr>
              <w:t>2013–14</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Requests received from DHS</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45</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44</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proofErr w:type="gramStart"/>
            <w:r w:rsidRPr="00395C65">
              <w:rPr>
                <w:rFonts w:cs="Arial"/>
                <w:sz w:val="22"/>
                <w:szCs w:val="22"/>
              </w:rPr>
              <w:t>requests</w:t>
            </w:r>
            <w:proofErr w:type="gramEnd"/>
            <w:r w:rsidRPr="00395C65">
              <w:rPr>
                <w:rFonts w:cs="Arial"/>
                <w:sz w:val="22"/>
                <w:szCs w:val="22"/>
              </w:rPr>
              <w:t xml:space="preserve"> by DHS to review a practitioner with a previous effective determination for a second or subsequent time</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4</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8</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No further action</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16</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15</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Requests withdrawn or lapsed</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5</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0</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 xml:space="preserve">Referrals from the PSR Director to new PSR committees </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10</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10</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 xml:space="preserve">Committees in progress </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 xml:space="preserve">8 </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9</w:t>
            </w:r>
            <w:r w:rsidRPr="00395C65">
              <w:rPr>
                <w:rFonts w:cs="Arial"/>
                <w:sz w:val="22"/>
                <w:szCs w:val="22"/>
                <w:vertAlign w:val="superscript"/>
              </w:rPr>
              <w:t>a</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Committee reports finalised</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2</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9</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proofErr w:type="gramStart"/>
            <w:r w:rsidRPr="00395C65">
              <w:rPr>
                <w:rFonts w:cs="Arial"/>
                <w:sz w:val="22"/>
                <w:szCs w:val="22"/>
              </w:rPr>
              <w:t>reports</w:t>
            </w:r>
            <w:proofErr w:type="gramEnd"/>
            <w:r w:rsidRPr="00395C65">
              <w:rPr>
                <w:rFonts w:cs="Arial"/>
                <w:sz w:val="22"/>
                <w:szCs w:val="22"/>
              </w:rPr>
              <w:t xml:space="preserve"> finding inappropriate practice</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2</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8</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proofErr w:type="gramStart"/>
            <w:r w:rsidRPr="00395C65">
              <w:rPr>
                <w:rFonts w:cs="Arial"/>
                <w:sz w:val="22"/>
                <w:szCs w:val="22"/>
              </w:rPr>
              <w:t>reports</w:t>
            </w:r>
            <w:proofErr w:type="gramEnd"/>
            <w:r w:rsidRPr="00395C65">
              <w:rPr>
                <w:rFonts w:cs="Arial"/>
                <w:sz w:val="22"/>
                <w:szCs w:val="22"/>
              </w:rPr>
              <w:t xml:space="preserve"> finding no inappropriate practice</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0</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1</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Committee matters ceased</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0</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0</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Referrals to AHPRA, medical boards or other bodies</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5</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4</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Referrals to Medicare participation review committees</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7</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N/A</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 xml:space="preserve">Referrals to DHS for suspected fraud </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0</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0</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Negotiated agreements ratified and effective</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20</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24</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Draft determinations made</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2</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8</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Final determinations made</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6</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6</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Final determinations effective</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7</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6</w:t>
            </w:r>
          </w:p>
        </w:tc>
      </w:tr>
      <w:tr w:rsidR="00FA6C41" w:rsidRPr="00A84AA1">
        <w:trPr>
          <w:trHeight w:val="283"/>
        </w:trPr>
        <w:tc>
          <w:tcPr>
            <w:tcW w:w="3773" w:type="pct"/>
            <w:shd w:val="clear" w:color="auto" w:fill="auto"/>
            <w:tcMar>
              <w:top w:w="85" w:type="dxa"/>
              <w:left w:w="85" w:type="dxa"/>
              <w:bottom w:w="85" w:type="dxa"/>
              <w:right w:w="85" w:type="dxa"/>
            </w:tcMar>
          </w:tcPr>
          <w:p w:rsidR="00FA6C41" w:rsidRPr="00395C65" w:rsidRDefault="00FA6C41" w:rsidP="00CE7895">
            <w:pPr>
              <w:pStyle w:val="tabletext"/>
              <w:rPr>
                <w:rFonts w:cs="Arial"/>
                <w:sz w:val="22"/>
                <w:szCs w:val="22"/>
              </w:rPr>
            </w:pPr>
            <w:r w:rsidRPr="00395C65">
              <w:rPr>
                <w:rFonts w:cs="Arial"/>
                <w:sz w:val="22"/>
                <w:szCs w:val="22"/>
              </w:rPr>
              <w:t xml:space="preserve">Cases on hand at 30 June 2014 </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 xml:space="preserve">36 </w:t>
            </w:r>
          </w:p>
        </w:tc>
        <w:tc>
          <w:tcPr>
            <w:tcW w:w="614" w:type="pct"/>
            <w:shd w:val="clear" w:color="auto" w:fill="auto"/>
            <w:tcMar>
              <w:top w:w="85" w:type="dxa"/>
              <w:left w:w="85" w:type="dxa"/>
              <w:bottom w:w="85" w:type="dxa"/>
              <w:right w:w="85" w:type="dxa"/>
            </w:tcMar>
          </w:tcPr>
          <w:p w:rsidR="00FA6C41" w:rsidRPr="00395C65" w:rsidRDefault="00FA6C41" w:rsidP="00CE7895">
            <w:pPr>
              <w:pStyle w:val="tabletext"/>
              <w:jc w:val="right"/>
              <w:rPr>
                <w:rFonts w:cs="Arial"/>
                <w:sz w:val="22"/>
                <w:szCs w:val="22"/>
              </w:rPr>
            </w:pPr>
            <w:r w:rsidRPr="00395C65">
              <w:rPr>
                <w:rFonts w:cs="Arial"/>
                <w:sz w:val="22"/>
                <w:szCs w:val="22"/>
              </w:rPr>
              <w:t>33</w:t>
            </w:r>
            <w:r w:rsidRPr="00395C65">
              <w:rPr>
                <w:rFonts w:cs="Arial"/>
                <w:sz w:val="22"/>
                <w:szCs w:val="22"/>
                <w:vertAlign w:val="superscript"/>
              </w:rPr>
              <w:t>b</w:t>
            </w:r>
          </w:p>
        </w:tc>
      </w:tr>
    </w:tbl>
    <w:p w:rsidR="00FA6C41" w:rsidRPr="00FA6C41" w:rsidRDefault="00FA6C41" w:rsidP="00555691">
      <w:pPr>
        <w:pStyle w:val="tablenotes"/>
      </w:pPr>
      <w:r w:rsidRPr="00FA6C41">
        <w:t xml:space="preserve">Notes: </w:t>
      </w:r>
    </w:p>
    <w:p w:rsidR="00FA6C41" w:rsidRPr="00FA6C41" w:rsidRDefault="00FA6C41" w:rsidP="00555691">
      <w:pPr>
        <w:pStyle w:val="tablenotes"/>
      </w:pPr>
      <w:r w:rsidRPr="00FA6C41">
        <w:t>a. Committee matters in progress as at 30 June 2014.</w:t>
      </w:r>
    </w:p>
    <w:p w:rsidR="00FA6C41" w:rsidRPr="00FA6C41" w:rsidRDefault="00FA6C41" w:rsidP="00555691">
      <w:pPr>
        <w:pStyle w:val="tablenotes"/>
      </w:pPr>
      <w:r w:rsidRPr="00FA6C41">
        <w:t xml:space="preserve">b. As PSR receives referrals from DHS throughout the year, case data cannot be reconciled within a </w:t>
      </w:r>
      <w:proofErr w:type="gramStart"/>
      <w:r w:rsidRPr="00FA6C41">
        <w:t>12 month</w:t>
      </w:r>
      <w:proofErr w:type="gramEnd"/>
      <w:r w:rsidRPr="00FA6C41">
        <w:t xml:space="preserve"> period.</w:t>
      </w:r>
    </w:p>
    <w:p w:rsidR="00FA6C41" w:rsidRPr="00FA6C41" w:rsidRDefault="00FA6C41" w:rsidP="00555691">
      <w:pPr>
        <w:pStyle w:val="Heading3"/>
        <w:rPr>
          <w:lang w:val="en-GB"/>
        </w:rPr>
      </w:pPr>
      <w:bookmarkStart w:id="51" w:name="_Toc275439468"/>
      <w:bookmarkStart w:id="52" w:name="_Toc276039564"/>
      <w:bookmarkStart w:id="53" w:name="_Toc276039927"/>
      <w:bookmarkStart w:id="54" w:name="_Toc276040169"/>
      <w:r w:rsidRPr="00FA6C41">
        <w:rPr>
          <w:lang w:val="en-GB"/>
        </w:rPr>
        <w:t>Cases dismissed—no further action</w:t>
      </w:r>
      <w:bookmarkEnd w:id="51"/>
      <w:bookmarkEnd w:id="52"/>
      <w:bookmarkEnd w:id="53"/>
      <w:bookmarkEnd w:id="54"/>
    </w:p>
    <w:p w:rsidR="00FA6C41" w:rsidRPr="00FA6C41" w:rsidRDefault="00FA6C41" w:rsidP="00D21D48">
      <w:pPr>
        <w:pStyle w:val="bodytext"/>
      </w:pPr>
      <w:r w:rsidRPr="00FA6C41">
        <w:t>The PSR Director can, after considering all the relevant material, decide to dismiss a case and take no further action under section 91 of the Act.</w:t>
      </w:r>
    </w:p>
    <w:p w:rsidR="00FA6C41" w:rsidRPr="00FA6C41" w:rsidRDefault="00FA6C41" w:rsidP="00D21D48">
      <w:pPr>
        <w:pStyle w:val="bodytext"/>
      </w:pPr>
      <w:r w:rsidRPr="00FA6C41">
        <w:t>The PSR Director took no further action in 15 of the 47 cases completed in 2013–14. This represents 32 per cent of all matters completed in the year.</w:t>
      </w:r>
    </w:p>
    <w:p w:rsidR="00FA6C41" w:rsidRPr="00FA6C41" w:rsidRDefault="00FA6C41" w:rsidP="00D21D48">
      <w:pPr>
        <w:pStyle w:val="bodytext"/>
      </w:pPr>
      <w:r w:rsidRPr="00FA6C41">
        <w:t>In these 15 cases, a decision was reached in an average of 100 days (compared to an average of 146 days in 2012–13).</w:t>
      </w:r>
    </w:p>
    <w:p w:rsidR="00FA6C41" w:rsidRPr="00FA6C41" w:rsidRDefault="00FA6C41" w:rsidP="00D21D48">
      <w:pPr>
        <w:pStyle w:val="bodytext"/>
      </w:pPr>
      <w:r w:rsidRPr="00FA6C41">
        <w:t xml:space="preserve">The dismissed cases involved 15 general practitioners. The practitioners were from New South Wales, Queensland, South Australia, Victoria and Western Australia.  </w:t>
      </w:r>
    </w:p>
    <w:p w:rsidR="00FA6C41" w:rsidRPr="00FA6C41" w:rsidRDefault="00FA6C41" w:rsidP="00555691">
      <w:pPr>
        <w:pStyle w:val="Heading3"/>
        <w:rPr>
          <w:lang w:val="en-GB"/>
        </w:rPr>
      </w:pPr>
      <w:bookmarkStart w:id="55" w:name="_Toc275439469"/>
      <w:bookmarkStart w:id="56" w:name="_Toc276039565"/>
      <w:bookmarkStart w:id="57" w:name="_Toc276039928"/>
      <w:bookmarkStart w:id="58" w:name="_Toc276040170"/>
      <w:r w:rsidRPr="00FA6C41">
        <w:rPr>
          <w:lang w:val="en-GB"/>
        </w:rPr>
        <w:t>Negotiated agreements</w:t>
      </w:r>
      <w:bookmarkEnd w:id="55"/>
      <w:bookmarkEnd w:id="56"/>
      <w:bookmarkEnd w:id="57"/>
      <w:bookmarkEnd w:id="58"/>
    </w:p>
    <w:p w:rsidR="00FA6C41" w:rsidRPr="00FA6C41" w:rsidRDefault="00FA6C41" w:rsidP="00D21D48">
      <w:pPr>
        <w:pStyle w:val="bodytext"/>
      </w:pPr>
      <w:r w:rsidRPr="00FA6C41">
        <w:t>Under section 92 of the Act, the Director and the practitioner under review can seek to enter into a negotiated agreement.</w:t>
      </w:r>
    </w:p>
    <w:p w:rsidR="00FA6C41" w:rsidRPr="00FA6C41" w:rsidRDefault="00FA6C41" w:rsidP="00D21D48">
      <w:pPr>
        <w:pStyle w:val="bodytext"/>
      </w:pPr>
      <w:r w:rsidRPr="00FA6C41">
        <w:t>The agreement must include:</w:t>
      </w:r>
    </w:p>
    <w:p w:rsidR="00FA6C41" w:rsidRPr="00FA6C41" w:rsidRDefault="00FA6C41" w:rsidP="004C030E">
      <w:pPr>
        <w:pStyle w:val="ListBullet"/>
        <w:rPr>
          <w:lang w:val="en-GB"/>
        </w:rPr>
      </w:pPr>
      <w:proofErr w:type="gramStart"/>
      <w:r w:rsidRPr="00FA6C41">
        <w:rPr>
          <w:lang w:val="en-GB"/>
        </w:rPr>
        <w:t>an</w:t>
      </w:r>
      <w:proofErr w:type="gramEnd"/>
      <w:r w:rsidRPr="00FA6C41">
        <w:rPr>
          <w:lang w:val="en-GB"/>
        </w:rPr>
        <w:t xml:space="preserve"> acknowledgement by the practitioner that they have engaged in inappropriate practice in relation to certain Medicare benefits and/or Pharmaceutical Benefits Scheme (PBS) items</w:t>
      </w:r>
    </w:p>
    <w:p w:rsidR="00FA6C41" w:rsidRPr="00FA6C41" w:rsidRDefault="00FA6C41" w:rsidP="004C030E">
      <w:pPr>
        <w:pStyle w:val="ListBullet"/>
        <w:rPr>
          <w:lang w:val="en-GB"/>
        </w:rPr>
      </w:pPr>
      <w:proofErr w:type="gramStart"/>
      <w:r w:rsidRPr="00FA6C41">
        <w:rPr>
          <w:lang w:val="en-GB"/>
        </w:rPr>
        <w:t>a</w:t>
      </w:r>
      <w:proofErr w:type="gramEnd"/>
      <w:r w:rsidRPr="00FA6C41">
        <w:rPr>
          <w:lang w:val="en-GB"/>
        </w:rPr>
        <w:t xml:space="preserve"> binding decision on what sanctions will apply in relation to their matter.</w:t>
      </w:r>
    </w:p>
    <w:p w:rsidR="00FA6C41" w:rsidRPr="00FA6C41" w:rsidRDefault="00FA6C41" w:rsidP="00D21D48">
      <w:pPr>
        <w:pStyle w:val="bodytext"/>
      </w:pPr>
      <w:r w:rsidRPr="00FA6C41">
        <w:t>In 2013–14, 24 negotiated agreements were ratified and became effective. Outcomes of these negotiated agreements include (Table 2):</w:t>
      </w:r>
    </w:p>
    <w:p w:rsidR="00FA6C41" w:rsidRPr="00FA6C41" w:rsidRDefault="00FA6C41" w:rsidP="00FA6C41">
      <w:pPr>
        <w:pStyle w:val="ListBullet"/>
        <w:rPr>
          <w:lang w:val="en-GB"/>
        </w:rPr>
      </w:pPr>
      <w:proofErr w:type="gramStart"/>
      <w:r w:rsidRPr="00FA6C41">
        <w:rPr>
          <w:lang w:val="en-GB"/>
        </w:rPr>
        <w:t>repayment</w:t>
      </w:r>
      <w:proofErr w:type="gramEnd"/>
      <w:r w:rsidRPr="00FA6C41">
        <w:rPr>
          <w:lang w:val="en-GB"/>
        </w:rPr>
        <w:t xml:space="preserve"> orders totalling $1,603,091.54 in 21 cases</w:t>
      </w:r>
    </w:p>
    <w:p w:rsidR="00FA6C41" w:rsidRPr="00FA6C41" w:rsidRDefault="00FA6C41" w:rsidP="00FA6C41">
      <w:pPr>
        <w:pStyle w:val="ListBullet"/>
        <w:rPr>
          <w:lang w:val="en-GB"/>
        </w:rPr>
      </w:pPr>
      <w:proofErr w:type="gramStart"/>
      <w:r w:rsidRPr="00FA6C41">
        <w:rPr>
          <w:lang w:val="en-GB"/>
        </w:rPr>
        <w:t>reprimand</w:t>
      </w:r>
      <w:proofErr w:type="gramEnd"/>
      <w:r w:rsidRPr="00FA6C41">
        <w:rPr>
          <w:lang w:val="en-GB"/>
        </w:rPr>
        <w:t xml:space="preserve"> in 22 cases</w:t>
      </w:r>
    </w:p>
    <w:p w:rsidR="00FA6C41" w:rsidRPr="00FA6C41" w:rsidRDefault="00FA6C41" w:rsidP="00FA6C41">
      <w:pPr>
        <w:pStyle w:val="ListBullet"/>
        <w:rPr>
          <w:lang w:val="en-GB"/>
        </w:rPr>
      </w:pPr>
      <w:r w:rsidRPr="00FA6C41">
        <w:rPr>
          <w:lang w:val="en-GB"/>
        </w:rPr>
        <w:t>14 partial disqualifications from access to the Medicare benefits program or the PBS.</w:t>
      </w:r>
    </w:p>
    <w:p w:rsidR="00FA6C41" w:rsidRPr="00FA6C41" w:rsidRDefault="00FA6C41" w:rsidP="00D21D48">
      <w:pPr>
        <w:pStyle w:val="bodytext"/>
      </w:pPr>
      <w:r w:rsidRPr="00FA6C41">
        <w:t xml:space="preserve">The practitioners concerned were general practitioners from the Australian Capital Territory (ACT), the Northern Territory, New South Wales, Queensland, Victoria, and Western Australia. </w:t>
      </w:r>
    </w:p>
    <w:p w:rsidR="00FA6C41" w:rsidRPr="00FA6C41" w:rsidRDefault="001E2C73" w:rsidP="00946300">
      <w:pPr>
        <w:pStyle w:val="tabletitle"/>
      </w:pPr>
      <w:r>
        <w:br w:type="page"/>
      </w:r>
      <w:r w:rsidR="00FA6C41" w:rsidRPr="00FA6C41">
        <w:t>Table 2: Negotiated agreements 2013–14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318"/>
        <w:gridCol w:w="5318"/>
      </w:tblGrid>
      <w:tr w:rsidR="00FA6C41" w:rsidRPr="00FA6C41">
        <w:trPr>
          <w:trHeight w:hRule="exact" w:val="567"/>
        </w:trPr>
        <w:tc>
          <w:tcPr>
            <w:tcW w:w="2500" w:type="pct"/>
            <w:shd w:val="clear" w:color="auto" w:fill="365F91" w:themeFill="accent1" w:themeFillShade="BF"/>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227" w:line="210" w:lineRule="atLeast"/>
              <w:textAlignment w:val="center"/>
              <w:rPr>
                <w:rFonts w:cs="Arial"/>
                <w:color w:val="FFFFFF"/>
                <w:szCs w:val="22"/>
                <w:lang w:val="en-GB"/>
              </w:rPr>
            </w:pPr>
            <w:r w:rsidRPr="00395C65">
              <w:rPr>
                <w:rFonts w:cs="Arial"/>
                <w:color w:val="FFFFFF"/>
                <w:szCs w:val="22"/>
                <w:lang w:val="en-GB"/>
              </w:rPr>
              <w:t>Repayment orders</w:t>
            </w:r>
          </w:p>
        </w:tc>
        <w:tc>
          <w:tcPr>
            <w:tcW w:w="2500" w:type="pct"/>
            <w:shd w:val="clear" w:color="auto" w:fill="auto"/>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$1,603,091.54</w:t>
            </w:r>
          </w:p>
        </w:tc>
      </w:tr>
      <w:tr w:rsidR="00FA6C41" w:rsidRPr="00FA6C41">
        <w:trPr>
          <w:trHeight w:hRule="exact" w:val="567"/>
        </w:trPr>
        <w:tc>
          <w:tcPr>
            <w:tcW w:w="2500" w:type="pct"/>
            <w:shd w:val="clear" w:color="auto" w:fill="B8CCE4" w:themeFill="accent1" w:themeFillTint="66"/>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227" w:line="210" w:lineRule="atLeast"/>
              <w:textAlignment w:val="center"/>
              <w:rPr>
                <w:rFonts w:cs="Arial"/>
                <w:szCs w:val="22"/>
                <w:lang w:val="en-GB"/>
              </w:rPr>
            </w:pPr>
            <w:r w:rsidRPr="00395C65">
              <w:rPr>
                <w:rFonts w:cs="Arial"/>
                <w:szCs w:val="22"/>
                <w:lang w:val="en-GB"/>
              </w:rPr>
              <w:t>Reprimands</w:t>
            </w:r>
          </w:p>
        </w:tc>
        <w:tc>
          <w:tcPr>
            <w:tcW w:w="2500" w:type="pct"/>
            <w:shd w:val="clear" w:color="auto" w:fill="auto"/>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22</w:t>
            </w:r>
          </w:p>
        </w:tc>
      </w:tr>
      <w:tr w:rsidR="00FA6C41" w:rsidRPr="00FA6C41">
        <w:trPr>
          <w:trHeight w:hRule="exact" w:val="567"/>
        </w:trPr>
        <w:tc>
          <w:tcPr>
            <w:tcW w:w="2500" w:type="pct"/>
            <w:shd w:val="clear" w:color="auto" w:fill="B8CCE4" w:themeFill="accent1" w:themeFillTint="66"/>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227" w:line="210" w:lineRule="atLeast"/>
              <w:textAlignment w:val="center"/>
              <w:rPr>
                <w:rFonts w:cs="Arial"/>
                <w:szCs w:val="22"/>
                <w:lang w:val="en-GB"/>
              </w:rPr>
            </w:pPr>
            <w:r w:rsidRPr="00395C65">
              <w:rPr>
                <w:rFonts w:cs="Arial"/>
                <w:szCs w:val="22"/>
                <w:lang w:val="en-GB"/>
              </w:rPr>
              <w:t>Total suspensions</w:t>
            </w:r>
          </w:p>
        </w:tc>
        <w:tc>
          <w:tcPr>
            <w:tcW w:w="2500" w:type="pct"/>
            <w:shd w:val="clear" w:color="auto" w:fill="auto"/>
            <w:tcMar>
              <w:top w:w="85" w:type="dxa"/>
              <w:left w:w="85" w:type="dxa"/>
              <w:bottom w:w="85" w:type="dxa"/>
              <w:right w:w="85" w:type="dxa"/>
            </w:tcMar>
            <w:vAlign w:val="bottom"/>
          </w:tcPr>
          <w:p w:rsidR="00FA6C41" w:rsidRPr="00395C65" w:rsidRDefault="00FA6C41" w:rsidP="00A84AA1">
            <w:pPr>
              <w:widowControl w:val="0"/>
              <w:autoSpaceDE w:val="0"/>
              <w:autoSpaceDN w:val="0"/>
              <w:adjustRightInd w:val="0"/>
              <w:rPr>
                <w:rFonts w:cs="Arial"/>
                <w:szCs w:val="22"/>
              </w:rPr>
            </w:pPr>
          </w:p>
        </w:tc>
      </w:tr>
      <w:tr w:rsidR="00FA6C41" w:rsidRPr="00FA6C41">
        <w:trPr>
          <w:trHeight w:hRule="exact" w:val="567"/>
        </w:trPr>
        <w:tc>
          <w:tcPr>
            <w:tcW w:w="2500" w:type="pct"/>
            <w:shd w:val="clear" w:color="auto" w:fill="auto"/>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 xml:space="preserve">Full suspensions </w:t>
            </w:r>
          </w:p>
        </w:tc>
        <w:tc>
          <w:tcPr>
            <w:tcW w:w="2500" w:type="pct"/>
            <w:shd w:val="clear" w:color="auto" w:fill="auto"/>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0</w:t>
            </w:r>
          </w:p>
        </w:tc>
      </w:tr>
      <w:tr w:rsidR="00FA6C41" w:rsidRPr="00FA6C41">
        <w:trPr>
          <w:trHeight w:hRule="exact" w:val="567"/>
        </w:trPr>
        <w:tc>
          <w:tcPr>
            <w:tcW w:w="2500" w:type="pct"/>
            <w:shd w:val="clear" w:color="auto" w:fill="auto"/>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 xml:space="preserve">Partial suspensions </w:t>
            </w:r>
          </w:p>
        </w:tc>
        <w:tc>
          <w:tcPr>
            <w:tcW w:w="2500" w:type="pct"/>
            <w:shd w:val="clear" w:color="auto" w:fill="auto"/>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14</w:t>
            </w:r>
          </w:p>
        </w:tc>
      </w:tr>
      <w:tr w:rsidR="00FA6C41" w:rsidRPr="00FA6C41">
        <w:trPr>
          <w:trHeight w:hRule="exact" w:val="567"/>
        </w:trPr>
        <w:tc>
          <w:tcPr>
            <w:tcW w:w="2500" w:type="pct"/>
            <w:shd w:val="clear" w:color="auto" w:fill="auto"/>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Full and partial suspensions</w:t>
            </w:r>
          </w:p>
        </w:tc>
        <w:tc>
          <w:tcPr>
            <w:tcW w:w="2500" w:type="pct"/>
            <w:shd w:val="clear" w:color="auto" w:fill="auto"/>
            <w:tcMar>
              <w:top w:w="85" w:type="dxa"/>
              <w:left w:w="85" w:type="dxa"/>
              <w:bottom w:w="85" w:type="dxa"/>
              <w:right w:w="85" w:type="dxa"/>
            </w:tcMar>
            <w:vAlign w:val="bottom"/>
          </w:tcPr>
          <w:p w:rsidR="00FA6C41" w:rsidRPr="00395C65" w:rsidRDefault="00FA6C41" w:rsidP="00A84AA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0</w:t>
            </w:r>
          </w:p>
        </w:tc>
      </w:tr>
    </w:tbl>
    <w:p w:rsidR="00FA6C41" w:rsidRPr="00FA6C41" w:rsidRDefault="00FA6C41" w:rsidP="00946300">
      <w:pPr>
        <w:pStyle w:val="Heading3"/>
      </w:pPr>
      <w:bookmarkStart w:id="59" w:name="_Toc275439470"/>
      <w:bookmarkStart w:id="60" w:name="_Toc276039566"/>
      <w:bookmarkStart w:id="61" w:name="_Toc276039929"/>
      <w:bookmarkStart w:id="62" w:name="_Toc276040171"/>
      <w:r w:rsidRPr="00FA6C41">
        <w:t>PSR Panel</w:t>
      </w:r>
      <w:bookmarkEnd w:id="59"/>
      <w:bookmarkEnd w:id="60"/>
      <w:bookmarkEnd w:id="61"/>
      <w:bookmarkEnd w:id="62"/>
    </w:p>
    <w:p w:rsidR="00FA6C41" w:rsidRPr="00FA6C41" w:rsidRDefault="00FA6C41" w:rsidP="00D21D48">
      <w:pPr>
        <w:pStyle w:val="bodytext"/>
      </w:pPr>
      <w:r w:rsidRPr="00FA6C41">
        <w:t>Under section 93 (1) of the Act, the Director may establish a PSR committee and refer to the committee for investigation a person under review in order for the committee to determine whether the person under review has engaged in inappropriate practice in providing the services specified in the referral from DHS.</w:t>
      </w:r>
    </w:p>
    <w:p w:rsidR="00FA6C41" w:rsidRPr="00FA6C41" w:rsidRDefault="00FA6C41" w:rsidP="00D21D48">
      <w:pPr>
        <w:pStyle w:val="bodytext"/>
      </w:pPr>
      <w:r w:rsidRPr="00FA6C41">
        <w:t xml:space="preserve">Members of peer review committees are drawn from the PSR Panel of 101 practitioners appointed during 2011–12 and 2012–13.   </w:t>
      </w:r>
    </w:p>
    <w:p w:rsidR="00FA6C41" w:rsidRPr="00FA6C41" w:rsidRDefault="00FA6C41" w:rsidP="00D21D48">
      <w:pPr>
        <w:pStyle w:val="bodytext"/>
      </w:pPr>
      <w:r w:rsidRPr="00FA6C41">
        <w:t xml:space="preserve">The PSR Panel consists of practitioners from a range of backgrounds and practice locations. Eighteen per cent of PSR Panel members practise in inner regional areas, four percent practise in outer regional areas and one per cent practise in remote areas. Women comprise 36 per cent of the members of the PSR Panel. </w:t>
      </w:r>
    </w:p>
    <w:p w:rsidR="00FA6C41" w:rsidRPr="00FA6C41" w:rsidRDefault="00FA6C41" w:rsidP="00946300">
      <w:pPr>
        <w:pStyle w:val="Heading3"/>
        <w:rPr>
          <w:lang w:val="en-GB"/>
        </w:rPr>
      </w:pPr>
      <w:bookmarkStart w:id="63" w:name="_Toc275439471"/>
      <w:bookmarkStart w:id="64" w:name="_Toc276039567"/>
      <w:bookmarkStart w:id="65" w:name="_Toc276039930"/>
      <w:bookmarkStart w:id="66" w:name="_Toc276040172"/>
      <w:r w:rsidRPr="00FA6C41">
        <w:rPr>
          <w:lang w:val="en-GB"/>
        </w:rPr>
        <w:t>PSR committees</w:t>
      </w:r>
      <w:bookmarkEnd w:id="63"/>
      <w:bookmarkEnd w:id="64"/>
      <w:bookmarkEnd w:id="65"/>
      <w:bookmarkEnd w:id="66"/>
    </w:p>
    <w:p w:rsidR="00FA6C41" w:rsidRPr="00FA6C41" w:rsidRDefault="00FA6C41" w:rsidP="00D21D48">
      <w:pPr>
        <w:pStyle w:val="bodytext"/>
      </w:pPr>
      <w:r w:rsidRPr="00FA6C41">
        <w:t xml:space="preserve">During the 2013–14 financial </w:t>
      </w:r>
      <w:proofErr w:type="gramStart"/>
      <w:r w:rsidRPr="00FA6C41">
        <w:t>year</w:t>
      </w:r>
      <w:proofErr w:type="gramEnd"/>
      <w:r w:rsidRPr="00FA6C41">
        <w:t xml:space="preserve">, the Director established 10 PSR committees and made referrals to each of them. Of the 10 practitioners referred to a PSR committee, nine were general practitioners and one was a dentist. </w:t>
      </w:r>
    </w:p>
    <w:p w:rsidR="00FA6C41" w:rsidRPr="00FA6C41" w:rsidRDefault="00FA6C41" w:rsidP="00D21D48">
      <w:pPr>
        <w:pStyle w:val="bodytext"/>
      </w:pPr>
      <w:r w:rsidRPr="00FA6C41">
        <w:t>Of the 10 PSR committees established, seven were still in progress at the end of the financial year. Six committee hearings had been held and two final committee reports had been sent to the Determining Authority. Both the finalised Committee reports resulted in findings of inappropriate practice.</w:t>
      </w:r>
    </w:p>
    <w:p w:rsidR="00FA6C41" w:rsidRPr="00FA6C41" w:rsidRDefault="00FA6C41" w:rsidP="00946300">
      <w:pPr>
        <w:pStyle w:val="Heading3"/>
        <w:rPr>
          <w:lang w:val="en-GB"/>
        </w:rPr>
      </w:pPr>
      <w:bookmarkStart w:id="67" w:name="_Toc275439472"/>
      <w:bookmarkStart w:id="68" w:name="_Toc276039568"/>
      <w:bookmarkStart w:id="69" w:name="_Toc276039931"/>
      <w:bookmarkStart w:id="70" w:name="_Toc276040173"/>
      <w:r w:rsidRPr="00FA6C41">
        <w:rPr>
          <w:lang w:val="en-GB"/>
        </w:rPr>
        <w:t>The Determining Authority</w:t>
      </w:r>
      <w:bookmarkEnd w:id="67"/>
      <w:bookmarkEnd w:id="68"/>
      <w:bookmarkEnd w:id="69"/>
      <w:bookmarkEnd w:id="70"/>
    </w:p>
    <w:p w:rsidR="00FA6C41" w:rsidRPr="00FA6C41" w:rsidRDefault="00FA6C41" w:rsidP="00D21D48">
      <w:pPr>
        <w:pStyle w:val="bodytext"/>
      </w:pPr>
      <w:r w:rsidRPr="00FA6C41">
        <w:t xml:space="preserve">In 2013–14, the Determining Authority made eight draft determinations and six final determinations following PSR committee report findings of inappropriate practice (Table 3).  </w:t>
      </w:r>
    </w:p>
    <w:p w:rsidR="00FA6C41" w:rsidRPr="00FA6C41" w:rsidRDefault="00FA6C41" w:rsidP="00D21D48">
      <w:pPr>
        <w:pStyle w:val="bodytext"/>
      </w:pPr>
      <w:r w:rsidRPr="00FA6C41">
        <w:t xml:space="preserve">Draft determinations took an average of 117 days and the issuing of final determinations took an average of 204 days (Table 3). </w:t>
      </w:r>
    </w:p>
    <w:p w:rsidR="00FA6C41" w:rsidRPr="00FA6C41" w:rsidRDefault="00FA6C41" w:rsidP="00D21D48">
      <w:pPr>
        <w:pStyle w:val="bodytext"/>
      </w:pPr>
      <w:r w:rsidRPr="00FA6C41">
        <w:t>During 2013–14, six final determinations became effective (Table 3). The directions made by the Determining Authority were:</w:t>
      </w:r>
    </w:p>
    <w:p w:rsidR="00FA6C41" w:rsidRPr="00FA6C41" w:rsidRDefault="00FA6C41" w:rsidP="004C030E">
      <w:pPr>
        <w:pStyle w:val="ListBullet"/>
        <w:rPr>
          <w:lang w:val="en-GB"/>
        </w:rPr>
      </w:pPr>
      <w:proofErr w:type="gramStart"/>
      <w:r w:rsidRPr="00FA6C41">
        <w:rPr>
          <w:lang w:val="en-GB"/>
        </w:rPr>
        <w:t>reprimand</w:t>
      </w:r>
      <w:proofErr w:type="gramEnd"/>
      <w:r w:rsidRPr="00FA6C41">
        <w:rPr>
          <w:lang w:val="en-GB"/>
        </w:rPr>
        <w:t xml:space="preserve"> in all cases</w:t>
      </w:r>
    </w:p>
    <w:p w:rsidR="00FA6C41" w:rsidRPr="00FA6C41" w:rsidRDefault="00FA6C41" w:rsidP="004C030E">
      <w:pPr>
        <w:pStyle w:val="ListBullet"/>
        <w:rPr>
          <w:lang w:val="en-GB"/>
        </w:rPr>
      </w:pPr>
      <w:proofErr w:type="gramStart"/>
      <w:r w:rsidRPr="00FA6C41">
        <w:rPr>
          <w:lang w:val="en-GB"/>
        </w:rPr>
        <w:t>counselling</w:t>
      </w:r>
      <w:proofErr w:type="gramEnd"/>
      <w:r w:rsidRPr="00FA6C41">
        <w:rPr>
          <w:lang w:val="en-GB"/>
        </w:rPr>
        <w:t xml:space="preserve"> in all cases</w:t>
      </w:r>
    </w:p>
    <w:p w:rsidR="00FA6C41" w:rsidRPr="00FA6C41" w:rsidRDefault="00FA6C41" w:rsidP="004C030E">
      <w:pPr>
        <w:pStyle w:val="ListBullet"/>
        <w:rPr>
          <w:lang w:val="en-GB"/>
        </w:rPr>
      </w:pPr>
      <w:proofErr w:type="gramStart"/>
      <w:r w:rsidRPr="00FA6C41">
        <w:rPr>
          <w:lang w:val="en-GB"/>
        </w:rPr>
        <w:t>full</w:t>
      </w:r>
      <w:proofErr w:type="gramEnd"/>
      <w:r w:rsidRPr="00FA6C41">
        <w:rPr>
          <w:lang w:val="en-GB"/>
        </w:rPr>
        <w:t xml:space="preserve"> disqualification from Medicare in one case for two months </w:t>
      </w:r>
    </w:p>
    <w:p w:rsidR="00FA6C41" w:rsidRPr="00FA6C41" w:rsidRDefault="00FA6C41" w:rsidP="004C030E">
      <w:pPr>
        <w:pStyle w:val="ListBullet"/>
        <w:rPr>
          <w:lang w:val="en-GB"/>
        </w:rPr>
      </w:pPr>
      <w:proofErr w:type="gramStart"/>
      <w:r w:rsidRPr="00FA6C41">
        <w:rPr>
          <w:lang w:val="en-GB"/>
        </w:rPr>
        <w:t>partial</w:t>
      </w:r>
      <w:proofErr w:type="gramEnd"/>
      <w:r w:rsidRPr="00FA6C41">
        <w:rPr>
          <w:lang w:val="en-GB"/>
        </w:rPr>
        <w:t xml:space="preserve"> disqualification from Medicare in three cases for between six months and 36 months </w:t>
      </w:r>
    </w:p>
    <w:p w:rsidR="00FA6C41" w:rsidRPr="00FA6C41" w:rsidRDefault="00FA6C41" w:rsidP="004C030E">
      <w:pPr>
        <w:pStyle w:val="ListBullet"/>
        <w:rPr>
          <w:lang w:val="en-GB"/>
        </w:rPr>
      </w:pPr>
      <w:proofErr w:type="gramStart"/>
      <w:r w:rsidRPr="00FA6C41">
        <w:rPr>
          <w:lang w:val="en-GB"/>
        </w:rPr>
        <w:t>repayment</w:t>
      </w:r>
      <w:proofErr w:type="gramEnd"/>
      <w:r w:rsidRPr="00FA6C41">
        <w:rPr>
          <w:lang w:val="en-GB"/>
        </w:rPr>
        <w:t xml:space="preserve"> of Medicare benefits in all cases ranging from $5,522.30 to $299,185.82 (totalling $712,523.89).</w:t>
      </w:r>
    </w:p>
    <w:p w:rsidR="00FA6C41" w:rsidRPr="00FA6C41" w:rsidRDefault="00FA6C41" w:rsidP="00D21D48">
      <w:pPr>
        <w:pStyle w:val="bodytext"/>
      </w:pPr>
      <w:r w:rsidRPr="00FA6C41">
        <w:t>The Determining Authority took an average of 16 days (compared with 15 in 2012–13) against a legislated timeframe of one month to ratify 24 negotiated agreements, with 24 negotiated agreements becoming effective (Table 1). The Determining Authority refused to ratify two negotiated agreements.</w:t>
      </w:r>
    </w:p>
    <w:p w:rsidR="00FA6C41" w:rsidRPr="00FA6C41" w:rsidRDefault="00FA6C41" w:rsidP="00946300">
      <w:pPr>
        <w:pStyle w:val="tabletitle"/>
      </w:pPr>
      <w:r w:rsidRPr="00FA6C41">
        <w:t>Table 3: Average number of days to complete 2012–13 and 2013–14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016"/>
        <w:gridCol w:w="1310"/>
        <w:gridCol w:w="1310"/>
      </w:tblGrid>
      <w:tr w:rsidR="00FA6C41" w:rsidRPr="00FA6C41">
        <w:trPr>
          <w:trHeight w:val="283"/>
        </w:trPr>
        <w:tc>
          <w:tcPr>
            <w:tcW w:w="3768" w:type="pct"/>
            <w:shd w:val="clear" w:color="auto" w:fill="365F91" w:themeFill="accent1" w:themeFillShade="BF"/>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616"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227" w:line="210" w:lineRule="atLeast"/>
              <w:jc w:val="right"/>
              <w:textAlignment w:val="center"/>
              <w:rPr>
                <w:rFonts w:cs="Arial"/>
                <w:b/>
                <w:szCs w:val="22"/>
                <w:lang w:val="en-GB"/>
              </w:rPr>
            </w:pPr>
            <w:r w:rsidRPr="00395C65">
              <w:rPr>
                <w:rFonts w:cs="Arial"/>
                <w:b/>
                <w:szCs w:val="22"/>
                <w:lang w:val="en-GB"/>
              </w:rPr>
              <w:t>2012–13</w:t>
            </w:r>
          </w:p>
        </w:tc>
        <w:tc>
          <w:tcPr>
            <w:tcW w:w="616"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227" w:line="210" w:lineRule="atLeast"/>
              <w:jc w:val="right"/>
              <w:textAlignment w:val="center"/>
              <w:rPr>
                <w:rFonts w:cs="Arial"/>
                <w:b/>
                <w:szCs w:val="22"/>
                <w:lang w:val="en-GB"/>
              </w:rPr>
            </w:pPr>
            <w:r w:rsidRPr="00395C65">
              <w:rPr>
                <w:rFonts w:cs="Arial"/>
                <w:b/>
                <w:szCs w:val="22"/>
              </w:rPr>
              <w:t>2013–14</w:t>
            </w:r>
          </w:p>
        </w:tc>
      </w:tr>
      <w:tr w:rsidR="00FA6C41" w:rsidRPr="00FA6C41">
        <w:trPr>
          <w:trHeight w:val="283"/>
        </w:trPr>
        <w:tc>
          <w:tcPr>
            <w:tcW w:w="3768"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No further action</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146</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100</w:t>
            </w:r>
          </w:p>
        </w:tc>
      </w:tr>
      <w:tr w:rsidR="00FA6C41" w:rsidRPr="00FA6C41">
        <w:trPr>
          <w:trHeight w:val="283"/>
        </w:trPr>
        <w:tc>
          <w:tcPr>
            <w:tcW w:w="3768"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rPr>
              <w:t>Negotiated agreements</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250</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184</w:t>
            </w:r>
          </w:p>
        </w:tc>
      </w:tr>
      <w:tr w:rsidR="00FA6C41" w:rsidRPr="00FA6C41">
        <w:trPr>
          <w:trHeight w:val="283"/>
        </w:trPr>
        <w:tc>
          <w:tcPr>
            <w:tcW w:w="3768"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rPr>
              <w:t>Final committee reports</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247</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268</w:t>
            </w:r>
          </w:p>
        </w:tc>
      </w:tr>
      <w:tr w:rsidR="00FA6C41" w:rsidRPr="00FA6C41">
        <w:trPr>
          <w:trHeight w:val="283"/>
        </w:trPr>
        <w:tc>
          <w:tcPr>
            <w:tcW w:w="3768"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rPr>
              <w:t>Ratification of negotiated agreements</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15</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16</w:t>
            </w:r>
          </w:p>
        </w:tc>
      </w:tr>
      <w:tr w:rsidR="00FA6C41" w:rsidRPr="00FA6C41">
        <w:trPr>
          <w:trHeight w:val="283"/>
        </w:trPr>
        <w:tc>
          <w:tcPr>
            <w:tcW w:w="3768"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Draft determinations</w:t>
            </w:r>
            <w:r w:rsidRPr="00395C65">
              <w:rPr>
                <w:rFonts w:cs="Arial"/>
                <w:color w:val="000000"/>
                <w:szCs w:val="22"/>
                <w:vertAlign w:val="superscript"/>
                <w:lang w:val="en-GB"/>
              </w:rPr>
              <w:t xml:space="preserve"> a</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897</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117</w:t>
            </w:r>
          </w:p>
        </w:tc>
      </w:tr>
      <w:tr w:rsidR="00FA6C41" w:rsidRPr="00FA6C41">
        <w:trPr>
          <w:trHeight w:val="283"/>
        </w:trPr>
        <w:tc>
          <w:tcPr>
            <w:tcW w:w="3768"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Final determinations</w:t>
            </w:r>
            <w:r w:rsidRPr="00395C65">
              <w:rPr>
                <w:rFonts w:cs="Arial"/>
                <w:color w:val="000000"/>
                <w:szCs w:val="22"/>
                <w:vertAlign w:val="superscript"/>
                <w:lang w:val="en-GB"/>
              </w:rPr>
              <w:t xml:space="preserve"> a</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826</w:t>
            </w:r>
          </w:p>
        </w:tc>
        <w:tc>
          <w:tcPr>
            <w:tcW w:w="616"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rPr>
              <w:t>204</w:t>
            </w:r>
          </w:p>
        </w:tc>
      </w:tr>
    </w:tbl>
    <w:p w:rsidR="00FA6C41" w:rsidRPr="00FA6C41" w:rsidRDefault="00FA6C41" w:rsidP="00FA6C41">
      <w:pPr>
        <w:widowControl w:val="0"/>
        <w:suppressAutoHyphens/>
        <w:autoSpaceDE w:val="0"/>
        <w:autoSpaceDN w:val="0"/>
        <w:adjustRightInd w:val="0"/>
        <w:spacing w:line="288" w:lineRule="auto"/>
        <w:textAlignment w:val="center"/>
        <w:rPr>
          <w:rFonts w:ascii="ArialNarrow" w:hAnsi="ArialNarrow" w:cs="ArialNarrow"/>
          <w:color w:val="000000"/>
          <w:sz w:val="20"/>
          <w:szCs w:val="20"/>
          <w:lang w:val="en-GB"/>
        </w:rPr>
      </w:pPr>
    </w:p>
    <w:p w:rsidR="00FA6C41" w:rsidRPr="00FA6C41" w:rsidRDefault="00FA6C41" w:rsidP="00946300">
      <w:pPr>
        <w:pStyle w:val="tablenotesbullets"/>
      </w:pPr>
      <w:proofErr w:type="gramStart"/>
      <w:r w:rsidRPr="00FA6C41">
        <w:t>a</w:t>
      </w:r>
      <w:proofErr w:type="gramEnd"/>
      <w:r w:rsidRPr="00FA6C41">
        <w:tab/>
        <w:t xml:space="preserve">The delays in draft and final determinations are attributable to undertakings by the Determining Authority not to proceed until the outcome of legal challenges to panel member appointments was known. Following the </w:t>
      </w:r>
      <w:r w:rsidRPr="00946300">
        <w:rPr>
          <w:i/>
        </w:rPr>
        <w:t>Health Insurance Amendment (Professional Services Review)</w:t>
      </w:r>
      <w:r w:rsidRPr="00FA6C41">
        <w:t xml:space="preserve"> Act 2012, which validated panel member appointments, in August 2012 the Determining Authority recommenced consideration of PSR committee cases.</w:t>
      </w:r>
    </w:p>
    <w:p w:rsidR="00FA6C41" w:rsidRPr="00FA6C41" w:rsidRDefault="00FA6C41" w:rsidP="00946300">
      <w:pPr>
        <w:pStyle w:val="Heading3"/>
        <w:rPr>
          <w:lang w:val="en-GB"/>
        </w:rPr>
      </w:pPr>
      <w:bookmarkStart w:id="71" w:name="_Toc275439473"/>
      <w:bookmarkStart w:id="72" w:name="_Toc276039569"/>
      <w:bookmarkStart w:id="73" w:name="_Toc276039932"/>
      <w:bookmarkStart w:id="74" w:name="_Toc276040174"/>
      <w:r w:rsidRPr="00FA6C41">
        <w:rPr>
          <w:lang w:val="en-GB"/>
        </w:rPr>
        <w:t>Re</w:t>
      </w:r>
      <w:r w:rsidRPr="00FA6C41">
        <w:rPr>
          <w:rFonts w:ascii="Monaco" w:hAnsi="Monaco" w:cs="Monaco"/>
          <w:lang w:val="en-GB"/>
        </w:rPr>
        <w:t>‑</w:t>
      </w:r>
      <w:r w:rsidRPr="00FA6C41">
        <w:rPr>
          <w:lang w:val="en-GB"/>
        </w:rPr>
        <w:t>referrals</w:t>
      </w:r>
      <w:bookmarkEnd w:id="71"/>
      <w:bookmarkEnd w:id="72"/>
      <w:bookmarkEnd w:id="73"/>
      <w:bookmarkEnd w:id="74"/>
    </w:p>
    <w:p w:rsidR="00FA6C41" w:rsidRPr="00FA6C41" w:rsidRDefault="00FA6C41" w:rsidP="00D21D48">
      <w:pPr>
        <w:pStyle w:val="bodytext"/>
      </w:pPr>
      <w:r w:rsidRPr="00FA6C41">
        <w:t xml:space="preserve">In 2013–14, DHS made eight requests to PSR to review practitioners who had previously been referred to, and reviewed by, PSR and had an effective negotiated agreement or determination. At 30 June 2014, four of these cases were still under review; one case was dismissed under section 91 of the Act, one entered into a section 92 </w:t>
      </w:r>
      <w:proofErr w:type="gramStart"/>
      <w:r w:rsidRPr="00FA6C41">
        <w:t>agreement</w:t>
      </w:r>
      <w:proofErr w:type="gramEnd"/>
      <w:r w:rsidRPr="00FA6C41">
        <w:t xml:space="preserve"> with the Director and two had been referred to a PSR committee. PSR continues to work with DHS to analyse the claiming behaviour of practitioners whose practice continues to cause concern after they have been through the PSR process.</w:t>
      </w:r>
    </w:p>
    <w:p w:rsidR="00FA6C41" w:rsidRPr="00FA6C41" w:rsidRDefault="00FA6C41" w:rsidP="00946300">
      <w:pPr>
        <w:pStyle w:val="Heading3"/>
        <w:rPr>
          <w:lang w:val="en-GB"/>
        </w:rPr>
      </w:pPr>
      <w:bookmarkStart w:id="75" w:name="_Toc275439474"/>
      <w:bookmarkStart w:id="76" w:name="_Toc276039570"/>
      <w:bookmarkStart w:id="77" w:name="_Toc276039933"/>
      <w:bookmarkStart w:id="78" w:name="_Toc276040175"/>
      <w:r w:rsidRPr="00FA6C41">
        <w:rPr>
          <w:lang w:val="en-GB"/>
        </w:rPr>
        <w:t>Referrals to medical boards and other bodies</w:t>
      </w:r>
      <w:bookmarkEnd w:id="75"/>
      <w:bookmarkEnd w:id="76"/>
      <w:bookmarkEnd w:id="77"/>
      <w:bookmarkEnd w:id="78"/>
      <w:r w:rsidRPr="00FA6C41">
        <w:rPr>
          <w:lang w:val="en-GB"/>
        </w:rPr>
        <w:t xml:space="preserve"> </w:t>
      </w:r>
    </w:p>
    <w:p w:rsidR="00FA6C41" w:rsidRPr="00FA6C41" w:rsidRDefault="00FA6C41" w:rsidP="00D21D48">
      <w:pPr>
        <w:pStyle w:val="bodytext"/>
      </w:pPr>
      <w:r w:rsidRPr="00FA6C41">
        <w:t>The Act requires the Director to refer practitioners to appropriate bodies when a significant threat to the life or health of a patient is identified, or if the person under review has failed to comply with professional standards.</w:t>
      </w:r>
    </w:p>
    <w:p w:rsidR="00FA6C41" w:rsidRPr="00FA6C41" w:rsidRDefault="00FA6C41" w:rsidP="00D21D48">
      <w:pPr>
        <w:pStyle w:val="bodytext"/>
      </w:pPr>
      <w:proofErr w:type="gramStart"/>
      <w:r w:rsidRPr="00FA6C41">
        <w:t>In 2013–14, the Director made four referrals of practitioners to the Australian Health Practitioner Regulation Agency (AHPRA), medical boards or other bodies.</w:t>
      </w:r>
      <w:proofErr w:type="gramEnd"/>
      <w:r w:rsidRPr="00FA6C41">
        <w:t xml:space="preserve"> </w:t>
      </w:r>
    </w:p>
    <w:p w:rsidR="00FA6C41" w:rsidRPr="00FA6C41" w:rsidRDefault="00FA6C41" w:rsidP="00946300">
      <w:pPr>
        <w:pStyle w:val="Heading3"/>
        <w:rPr>
          <w:lang w:val="en-GB"/>
        </w:rPr>
      </w:pPr>
      <w:bookmarkStart w:id="79" w:name="_Toc275439475"/>
      <w:bookmarkStart w:id="80" w:name="_Toc276039571"/>
      <w:bookmarkStart w:id="81" w:name="_Toc276039934"/>
      <w:bookmarkStart w:id="82" w:name="_Toc276040176"/>
      <w:r w:rsidRPr="00FA6C41">
        <w:rPr>
          <w:lang w:val="en-GB"/>
        </w:rPr>
        <w:t>External review of actions</w:t>
      </w:r>
      <w:bookmarkEnd w:id="79"/>
      <w:bookmarkEnd w:id="80"/>
      <w:bookmarkEnd w:id="81"/>
      <w:bookmarkEnd w:id="82"/>
    </w:p>
    <w:p w:rsidR="00FA6C41" w:rsidRPr="00FA6C41" w:rsidRDefault="00FA6C41" w:rsidP="00D21D48">
      <w:pPr>
        <w:pStyle w:val="bodytext"/>
      </w:pPr>
      <w:r w:rsidRPr="00FA6C41">
        <w:t xml:space="preserve">Practitioners involved in the PSR process can seek judicial review in the High Court, the Federal Court or the Federal Circuit Court. </w:t>
      </w:r>
    </w:p>
    <w:p w:rsidR="00FA6C41" w:rsidRPr="00FA6C41" w:rsidRDefault="00FA6C41" w:rsidP="00D21D48">
      <w:pPr>
        <w:pStyle w:val="bodytext"/>
      </w:pPr>
      <w:r w:rsidRPr="00FA6C41">
        <w:t>No court actions involving PSR matters were commenced in 2013–14. The only court action that remained outstanding at the end of 2012–13 was decided in August 2013. This case is described below under ‘Summary of legal cases’.</w:t>
      </w:r>
    </w:p>
    <w:p w:rsidR="00FA6C41" w:rsidRPr="00946300" w:rsidRDefault="00A032AA" w:rsidP="00946300">
      <w:pPr>
        <w:pStyle w:val="Heading2"/>
        <w:rPr>
          <w:rFonts w:ascii="Cambria-Bold" w:hAnsi="Cambria-Bold"/>
          <w:sz w:val="26"/>
        </w:rPr>
      </w:pPr>
      <w:bookmarkStart w:id="83" w:name="_Toc275439476"/>
      <w:bookmarkStart w:id="84" w:name="_Toc276040177"/>
      <w:r>
        <w:br w:type="page"/>
      </w:r>
      <w:r w:rsidR="00FA6C41" w:rsidRPr="00FA6C41">
        <w:t>Summary of legal cases</w:t>
      </w:r>
      <w:bookmarkEnd w:id="83"/>
      <w:bookmarkEnd w:id="84"/>
    </w:p>
    <w:p w:rsidR="00FA6C41" w:rsidRPr="00FA6C41" w:rsidRDefault="00FA6C41" w:rsidP="00FA6C41">
      <w:pPr>
        <w:rPr>
          <w:lang w:val="en-GB"/>
        </w:rPr>
      </w:pPr>
      <w:r w:rsidRPr="00FA6C41">
        <w:rPr>
          <w:lang w:val="en-GB"/>
        </w:rPr>
        <w:t>The following case was decided during 2013–14.</w:t>
      </w:r>
    </w:p>
    <w:p w:rsidR="00FA6C41" w:rsidRPr="00FA6C41" w:rsidRDefault="00FA6C41" w:rsidP="00946300">
      <w:pPr>
        <w:pStyle w:val="Heading3"/>
        <w:rPr>
          <w:lang w:val="en-GB"/>
        </w:rPr>
      </w:pPr>
      <w:bookmarkStart w:id="85" w:name="_Toc275439477"/>
      <w:bookmarkStart w:id="86" w:name="_Toc276039573"/>
      <w:bookmarkStart w:id="87" w:name="_Toc276039936"/>
      <w:bookmarkStart w:id="88" w:name="_Toc276040178"/>
      <w:r w:rsidRPr="00FA6C41">
        <w:rPr>
          <w:lang w:val="en-AU"/>
        </w:rPr>
        <w:t>Federal Court</w:t>
      </w:r>
      <w:bookmarkEnd w:id="85"/>
      <w:bookmarkEnd w:id="86"/>
      <w:bookmarkEnd w:id="87"/>
      <w:bookmarkEnd w:id="88"/>
    </w:p>
    <w:p w:rsidR="00FA6C41" w:rsidRPr="00FA6C41" w:rsidRDefault="00FA6C41" w:rsidP="00946300">
      <w:pPr>
        <w:pStyle w:val="Heading41"/>
      </w:pPr>
      <w:r w:rsidRPr="00FA6C41">
        <w:t>Rich v Ingram [2014] FCA 800</w:t>
      </w:r>
    </w:p>
    <w:p w:rsidR="00FA6C41" w:rsidRPr="00FA6C41" w:rsidRDefault="00FA6C41" w:rsidP="00D21D48">
      <w:pPr>
        <w:pStyle w:val="bodytext"/>
      </w:pPr>
      <w:r w:rsidRPr="00FA6C41">
        <w:t xml:space="preserve">In this matter the Federal Court upheld the validity and effectiveness of Schedule 1 to the </w:t>
      </w:r>
      <w:r w:rsidRPr="00946300">
        <w:rPr>
          <w:i/>
        </w:rPr>
        <w:t>Health Insurance Amendment (Professional Services Review) Act 2012,</w:t>
      </w:r>
      <w:r w:rsidRPr="00FA6C41">
        <w:t xml:space="preserve"> the effect of which was to validate the actions of PSR committees that had not been validly constituted. </w:t>
      </w:r>
    </w:p>
    <w:p w:rsidR="00FA6C41" w:rsidRPr="00FA6C41" w:rsidRDefault="00FA6C41" w:rsidP="00D21D48">
      <w:pPr>
        <w:pStyle w:val="bodytext"/>
      </w:pPr>
      <w:r w:rsidRPr="00FA6C41">
        <w:t>In considering the particular PSR committee’s final report, which was the subject of the court action, Justice Bromberg held that the committee was not required to provide with its final report its reasons for not accepting any changes to its draft report suggested by the person under review. While the committee had not referred to all the matters raised by Dr Rich in his submissions on the draft report, the court was not convinced that an inference should be drawn that no proper, genuine and realistic consideration was given to those submissions.</w:t>
      </w:r>
    </w:p>
    <w:p w:rsidR="00FA6C41" w:rsidRPr="00FA6C41" w:rsidRDefault="00FA6C41" w:rsidP="00D21D48">
      <w:pPr>
        <w:pStyle w:val="bodytext"/>
      </w:pPr>
      <w:r w:rsidRPr="00FA6C41">
        <w:t>In discussing the nature of submissions on a draft report, Justice Bromberg said:</w:t>
      </w:r>
    </w:p>
    <w:p w:rsidR="00FA6C41" w:rsidRPr="00FA6C41" w:rsidRDefault="00FA6C41" w:rsidP="00D21D48">
      <w:pPr>
        <w:pStyle w:val="bodytext"/>
        <w:ind w:left="709"/>
        <w:rPr>
          <w:rFonts w:ascii="SamoSansPro-LightItalic" w:hAnsi="SamoSansPro-LightItalic" w:cs="SamoSansPro-LightItalic"/>
          <w:i/>
          <w:iCs/>
        </w:rPr>
      </w:pPr>
      <w:r w:rsidRPr="00FA6C41">
        <w:tab/>
        <w:t xml:space="preserve">‘… </w:t>
      </w:r>
      <w:proofErr w:type="gramStart"/>
      <w:r w:rsidRPr="00FA6C41">
        <w:t>the</w:t>
      </w:r>
      <w:proofErr w:type="gramEnd"/>
      <w:r w:rsidRPr="00FA6C41">
        <w:t xml:space="preserve"> submissions stage contemplated by s 106KD(3) is an opportunity to respond and suggest changes to the draft report. It is not an opportunity to </w:t>
      </w:r>
      <w:proofErr w:type="gramStart"/>
      <w:r w:rsidRPr="00FA6C41">
        <w:t>raise</w:t>
      </w:r>
      <w:proofErr w:type="gramEnd"/>
      <w:r w:rsidRPr="00FA6C41">
        <w:t xml:space="preserve"> for the first time evidence which could and should have been raised at the hearing. Material in a submission of that kind is not material that, in my view, a PSR Committee is bound to take into account. </w:t>
      </w:r>
      <w:r w:rsidRPr="00FA6C41">
        <w:rPr>
          <w:rFonts w:ascii="SamoSansPro-LightItalic" w:hAnsi="SamoSansPro-LightItalic" w:cs="SamoSansPro-LightItalic"/>
          <w:i/>
          <w:iCs/>
        </w:rPr>
        <w:t xml:space="preserve"> </w:t>
      </w:r>
    </w:p>
    <w:p w:rsidR="00FA6C41" w:rsidRPr="00FA6C41" w:rsidRDefault="00FA6C41" w:rsidP="00D21D48">
      <w:pPr>
        <w:pStyle w:val="bodytext"/>
      </w:pPr>
      <w:r w:rsidRPr="00FA6C41">
        <w:t xml:space="preserve">The court dismissed the application for judicial review.   </w:t>
      </w:r>
    </w:p>
    <w:p w:rsidR="00FA6C41" w:rsidRPr="00FA6C41" w:rsidRDefault="00FA6C41" w:rsidP="00946300">
      <w:pPr>
        <w:pStyle w:val="Heading2"/>
      </w:pPr>
      <w:bookmarkStart w:id="89" w:name="_Toc275439478"/>
      <w:bookmarkStart w:id="90" w:name="_Toc276040179"/>
      <w:r w:rsidRPr="00FA6C41">
        <w:t>Performance against Portfolio Budget Statement 2013–14</w:t>
      </w:r>
      <w:bookmarkEnd w:id="89"/>
      <w:bookmarkEnd w:id="90"/>
    </w:p>
    <w:p w:rsidR="00FA6C41" w:rsidRPr="00FA6C41" w:rsidRDefault="00FA6C41" w:rsidP="00946300">
      <w:pPr>
        <w:pStyle w:val="Heading3"/>
        <w:rPr>
          <w:lang w:val="en-GB"/>
        </w:rPr>
      </w:pPr>
      <w:bookmarkStart w:id="91" w:name="_Toc275439479"/>
      <w:bookmarkStart w:id="92" w:name="_Toc276039575"/>
      <w:bookmarkStart w:id="93" w:name="_Toc276039938"/>
      <w:bookmarkStart w:id="94" w:name="_Toc276040180"/>
      <w:r w:rsidRPr="00FA6C41">
        <w:rPr>
          <w:lang w:val="en-GB"/>
        </w:rPr>
        <w:t>Key performance indicators</w:t>
      </w:r>
      <w:bookmarkEnd w:id="91"/>
      <w:bookmarkEnd w:id="92"/>
      <w:bookmarkEnd w:id="93"/>
      <w:bookmarkEnd w:id="94"/>
    </w:p>
    <w:p w:rsidR="00FA6C41" w:rsidRPr="00FA6C41" w:rsidRDefault="00FA6C41" w:rsidP="00D21D48">
      <w:pPr>
        <w:pStyle w:val="bodytext"/>
      </w:pPr>
      <w:r w:rsidRPr="00FA6C41">
        <w:t>The quantitative key performance indicators specified for PSR in the Portfolio Budget Statement 2013–14 were the percentage of cases referred to regulatory bodies where a possible threat to life or health of a patient is identified and the total number of PSR actions upheld by the courts after appeal.</w:t>
      </w:r>
    </w:p>
    <w:p w:rsidR="00FA6C41" w:rsidRPr="00FA6C41" w:rsidRDefault="00FA6C41" w:rsidP="00D21D48">
      <w:pPr>
        <w:pStyle w:val="bodytext"/>
      </w:pPr>
      <w:r w:rsidRPr="00FA6C41">
        <w:t xml:space="preserve">PSR achieved its target of 100 per cent for both key performance indicators. </w:t>
      </w:r>
    </w:p>
    <w:p w:rsidR="00FA6C41" w:rsidRPr="00946300" w:rsidRDefault="00FA6C41" w:rsidP="00D21D48">
      <w:pPr>
        <w:pStyle w:val="bodytext"/>
      </w:pPr>
      <w:r w:rsidRPr="00FA6C41">
        <w:t xml:space="preserve">In 2014–15, PSR will further strengthen the deterrent effect of the PSR Scheme by continuing to refer cases of practitioners who may pose a possible threat to life or health of a patient on to regulatory bodies for further action. </w:t>
      </w:r>
    </w:p>
    <w:p w:rsidR="00FA6C41" w:rsidRPr="00FA6C41" w:rsidRDefault="00FA6C41" w:rsidP="00946300">
      <w:pPr>
        <w:pStyle w:val="Heading3"/>
        <w:rPr>
          <w:lang w:val="en-GB"/>
        </w:rPr>
      </w:pPr>
      <w:bookmarkStart w:id="95" w:name="_Toc275439480"/>
      <w:bookmarkStart w:id="96" w:name="_Toc276039576"/>
      <w:bookmarkStart w:id="97" w:name="_Toc276039939"/>
      <w:bookmarkStart w:id="98" w:name="_Toc276040181"/>
      <w:r w:rsidRPr="00FA6C41">
        <w:rPr>
          <w:lang w:val="en-GB"/>
        </w:rPr>
        <w:t>Quantitative deliverables</w:t>
      </w:r>
      <w:bookmarkEnd w:id="95"/>
      <w:bookmarkEnd w:id="96"/>
      <w:bookmarkEnd w:id="97"/>
      <w:bookmarkEnd w:id="98"/>
    </w:p>
    <w:p w:rsidR="00FA6C41" w:rsidRPr="00FA6C41" w:rsidRDefault="00FA6C41" w:rsidP="00D21D48">
      <w:pPr>
        <w:pStyle w:val="bodytext"/>
      </w:pPr>
      <w:r w:rsidRPr="00FA6C41">
        <w:t xml:space="preserve">PSR continued to action referrals from DHS during 2013–14, completing 47 matters.  </w:t>
      </w:r>
    </w:p>
    <w:p w:rsidR="00FA6C41" w:rsidRPr="00FA6C41" w:rsidRDefault="00A032AA" w:rsidP="00946300">
      <w:pPr>
        <w:pStyle w:val="tabletitle"/>
      </w:pPr>
      <w:r>
        <w:br w:type="page"/>
      </w:r>
      <w:r w:rsidR="00FA6C41" w:rsidRPr="00FA6C41">
        <w:t>Table 4: PSR quantitative deliverables 2013–14</w:t>
      </w: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889"/>
        <w:gridCol w:w="1698"/>
        <w:gridCol w:w="1704"/>
      </w:tblGrid>
      <w:tr w:rsidR="00FA6C41" w:rsidRPr="00A84AA1">
        <w:trPr>
          <w:trHeight w:hRule="exact" w:val="680"/>
        </w:trPr>
        <w:tc>
          <w:tcPr>
            <w:tcW w:w="3347" w:type="pct"/>
            <w:shd w:val="clear" w:color="auto" w:fill="365F91" w:themeFill="accent1" w:themeFillShade="BF"/>
            <w:tcMar>
              <w:top w:w="85" w:type="dxa"/>
              <w:left w:w="85" w:type="dxa"/>
              <w:bottom w:w="85" w:type="dxa"/>
              <w:right w:w="85" w:type="dxa"/>
            </w:tcMar>
            <w:vAlign w:val="bottom"/>
          </w:tcPr>
          <w:p w:rsidR="00FA6C41" w:rsidRPr="00AE7496" w:rsidRDefault="00FA6C41" w:rsidP="00395C65">
            <w:pPr>
              <w:widowControl w:val="0"/>
              <w:suppressAutoHyphens/>
              <w:autoSpaceDE w:val="0"/>
              <w:autoSpaceDN w:val="0"/>
              <w:adjustRightInd w:val="0"/>
              <w:spacing w:before="227" w:line="210" w:lineRule="atLeast"/>
              <w:textAlignment w:val="center"/>
              <w:rPr>
                <w:rFonts w:ascii="SamoSansPro-Medium" w:hAnsi="SamoSansPro-Medium" w:cs="SamoSansPro-Medium"/>
                <w:color w:val="FFFFFF"/>
                <w:szCs w:val="22"/>
                <w:lang w:val="en-GB"/>
              </w:rPr>
            </w:pPr>
            <w:r w:rsidRPr="00AE7496">
              <w:rPr>
                <w:rFonts w:ascii="SamoSansPro-Medium" w:hAnsi="SamoSansPro-Medium" w:cs="SamoSansPro-Medium"/>
                <w:color w:val="FFFFFF"/>
                <w:szCs w:val="22"/>
                <w:lang w:val="en-GB"/>
              </w:rPr>
              <w:t>Quantitative indicators and deliverables</w:t>
            </w:r>
          </w:p>
        </w:tc>
        <w:tc>
          <w:tcPr>
            <w:tcW w:w="825" w:type="pct"/>
            <w:shd w:val="clear" w:color="auto" w:fill="365F91" w:themeFill="accent1" w:themeFillShade="BF"/>
            <w:tcMar>
              <w:top w:w="85" w:type="dxa"/>
              <w:left w:w="85" w:type="dxa"/>
              <w:bottom w:w="85" w:type="dxa"/>
              <w:right w:w="85" w:type="dxa"/>
            </w:tcMar>
            <w:vAlign w:val="bottom"/>
          </w:tcPr>
          <w:p w:rsidR="00FA6C41" w:rsidRPr="00AE7496" w:rsidRDefault="00FA6C41" w:rsidP="00395C65">
            <w:pPr>
              <w:widowControl w:val="0"/>
              <w:suppressAutoHyphens/>
              <w:autoSpaceDE w:val="0"/>
              <w:autoSpaceDN w:val="0"/>
              <w:adjustRightInd w:val="0"/>
              <w:spacing w:before="227" w:line="210" w:lineRule="atLeast"/>
              <w:textAlignment w:val="center"/>
              <w:rPr>
                <w:rFonts w:ascii="SamoSansPro-Medium" w:hAnsi="SamoSansPro-Medium" w:cs="SamoSansPro-Medium"/>
                <w:color w:val="FFFFFF"/>
                <w:szCs w:val="22"/>
                <w:lang w:val="en-GB"/>
              </w:rPr>
            </w:pPr>
            <w:r w:rsidRPr="00AE7496">
              <w:rPr>
                <w:rFonts w:ascii="SamoSansPro-Medium" w:hAnsi="SamoSansPro-Medium" w:cs="SamoSansPro-Medium"/>
                <w:color w:val="FFFFFF"/>
                <w:szCs w:val="22"/>
                <w:lang w:val="en-GB"/>
              </w:rPr>
              <w:t>2013–14 budget</w:t>
            </w:r>
          </w:p>
        </w:tc>
        <w:tc>
          <w:tcPr>
            <w:tcW w:w="828" w:type="pct"/>
            <w:shd w:val="clear" w:color="auto" w:fill="365F91" w:themeFill="accent1" w:themeFillShade="BF"/>
            <w:tcMar>
              <w:top w:w="85" w:type="dxa"/>
              <w:left w:w="85" w:type="dxa"/>
              <w:bottom w:w="85" w:type="dxa"/>
              <w:right w:w="85" w:type="dxa"/>
            </w:tcMar>
            <w:vAlign w:val="bottom"/>
          </w:tcPr>
          <w:p w:rsidR="00FA6C41" w:rsidRPr="00AE7496" w:rsidRDefault="00FA6C41" w:rsidP="00395C65">
            <w:pPr>
              <w:widowControl w:val="0"/>
              <w:suppressAutoHyphens/>
              <w:autoSpaceDE w:val="0"/>
              <w:autoSpaceDN w:val="0"/>
              <w:adjustRightInd w:val="0"/>
              <w:spacing w:before="227" w:line="210" w:lineRule="atLeast"/>
              <w:textAlignment w:val="center"/>
              <w:rPr>
                <w:rFonts w:ascii="SamoSansPro-Medium" w:hAnsi="SamoSansPro-Medium" w:cs="SamoSansPro-Medium"/>
                <w:color w:val="FFFFFF"/>
                <w:szCs w:val="22"/>
                <w:lang w:val="en-GB"/>
              </w:rPr>
            </w:pPr>
            <w:r w:rsidRPr="00AE7496">
              <w:rPr>
                <w:rFonts w:ascii="SamoSansPro-Medium" w:hAnsi="SamoSansPro-Medium" w:cs="SamoSansPro-Medium"/>
                <w:color w:val="FFFFFF"/>
                <w:szCs w:val="22"/>
                <w:lang w:val="en-GB"/>
              </w:rPr>
              <w:t>2013–14 actual</w:t>
            </w:r>
          </w:p>
        </w:tc>
      </w:tr>
      <w:tr w:rsidR="00FA6C41" w:rsidRPr="00A84AA1">
        <w:trPr>
          <w:trHeight w:hRule="exact" w:val="680"/>
        </w:trPr>
        <w:tc>
          <w:tcPr>
            <w:tcW w:w="5000" w:type="pct"/>
            <w:gridSpan w:val="3"/>
            <w:shd w:val="clear" w:color="auto" w:fill="B8CCE4" w:themeFill="accent1" w:themeFillTint="66"/>
            <w:tcMar>
              <w:top w:w="85" w:type="dxa"/>
              <w:left w:w="85" w:type="dxa"/>
              <w:bottom w:w="85" w:type="dxa"/>
              <w:right w:w="85" w:type="dxa"/>
            </w:tcMar>
            <w:vAlign w:val="bottom"/>
          </w:tcPr>
          <w:p w:rsidR="00FA6C41" w:rsidRPr="00395C65" w:rsidRDefault="00FA6C41" w:rsidP="00395C65">
            <w:pPr>
              <w:widowControl w:val="0"/>
              <w:suppressAutoHyphens/>
              <w:autoSpaceDE w:val="0"/>
              <w:autoSpaceDN w:val="0"/>
              <w:adjustRightInd w:val="0"/>
              <w:spacing w:before="227" w:line="210" w:lineRule="atLeast"/>
              <w:textAlignment w:val="center"/>
              <w:rPr>
                <w:rFonts w:ascii="SamoSansPro-Medium" w:hAnsi="SamoSansPro-Medium" w:cs="SamoSansPro-Medium"/>
                <w:szCs w:val="22"/>
                <w:lang w:val="en-GB"/>
              </w:rPr>
            </w:pPr>
            <w:r w:rsidRPr="00395C65">
              <w:rPr>
                <w:rFonts w:ascii="SamoSansPro-Medium" w:hAnsi="SamoSansPro-Medium" w:cs="SamoSansPro-Medium"/>
                <w:szCs w:val="22"/>
                <w:lang w:val="en-GB"/>
              </w:rPr>
              <w:t>Protect against inappropriate health care practice</w:t>
            </w:r>
          </w:p>
        </w:tc>
      </w:tr>
      <w:tr w:rsidR="00FA6C41" w:rsidRPr="00A84AA1">
        <w:trPr>
          <w:trHeight w:hRule="exact" w:val="680"/>
        </w:trPr>
        <w:tc>
          <w:tcPr>
            <w:tcW w:w="3347" w:type="pct"/>
            <w:shd w:val="clear" w:color="auto" w:fill="auto"/>
            <w:tcMar>
              <w:top w:w="85" w:type="dxa"/>
              <w:left w:w="85" w:type="dxa"/>
              <w:bottom w:w="85" w:type="dxa"/>
              <w:right w:w="85" w:type="dxa"/>
            </w:tcMar>
            <w:vAlign w:val="bottom"/>
          </w:tcPr>
          <w:p w:rsidR="00FA6C41" w:rsidRPr="00AE7496" w:rsidRDefault="00FA6C41" w:rsidP="00395C65">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Percentage of reviews by the Director of PSR finalised within 12 months</w:t>
            </w:r>
          </w:p>
        </w:tc>
        <w:tc>
          <w:tcPr>
            <w:tcW w:w="825" w:type="pct"/>
            <w:shd w:val="clear" w:color="auto" w:fill="auto"/>
            <w:tcMar>
              <w:top w:w="85" w:type="dxa"/>
              <w:left w:w="85" w:type="dxa"/>
              <w:bottom w:w="85" w:type="dxa"/>
              <w:right w:w="85" w:type="dxa"/>
            </w:tcMar>
            <w:vAlign w:val="bottom"/>
          </w:tcPr>
          <w:p w:rsidR="00FA6C41" w:rsidRPr="00AE7496" w:rsidRDefault="00FA6C41" w:rsidP="00395C65">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100%</w:t>
            </w:r>
          </w:p>
        </w:tc>
        <w:tc>
          <w:tcPr>
            <w:tcW w:w="828" w:type="pct"/>
            <w:shd w:val="clear" w:color="auto" w:fill="auto"/>
            <w:tcMar>
              <w:top w:w="85" w:type="dxa"/>
              <w:left w:w="85" w:type="dxa"/>
              <w:bottom w:w="85" w:type="dxa"/>
              <w:right w:w="85" w:type="dxa"/>
            </w:tcMar>
            <w:vAlign w:val="bottom"/>
          </w:tcPr>
          <w:p w:rsidR="00FA6C41" w:rsidRPr="00AE7496" w:rsidRDefault="00FA6C41" w:rsidP="00395C65">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100%</w:t>
            </w:r>
          </w:p>
        </w:tc>
      </w:tr>
      <w:tr w:rsidR="00FA6C41" w:rsidRPr="00A84AA1">
        <w:trPr>
          <w:trHeight w:hRule="exact" w:val="680"/>
        </w:trPr>
        <w:tc>
          <w:tcPr>
            <w:tcW w:w="3347" w:type="pct"/>
            <w:shd w:val="clear" w:color="auto" w:fill="auto"/>
            <w:tcMar>
              <w:top w:w="85" w:type="dxa"/>
              <w:left w:w="85" w:type="dxa"/>
              <w:bottom w:w="85" w:type="dxa"/>
              <w:right w:w="85" w:type="dxa"/>
            </w:tcMar>
            <w:vAlign w:val="bottom"/>
          </w:tcPr>
          <w:p w:rsidR="00FA6C41" w:rsidRPr="00AE7496" w:rsidRDefault="00FA6C41" w:rsidP="00395C65">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 xml:space="preserve">Number of committees established </w:t>
            </w:r>
          </w:p>
        </w:tc>
        <w:tc>
          <w:tcPr>
            <w:tcW w:w="825" w:type="pct"/>
            <w:shd w:val="clear" w:color="auto" w:fill="auto"/>
            <w:tcMar>
              <w:top w:w="85" w:type="dxa"/>
              <w:left w:w="85" w:type="dxa"/>
              <w:bottom w:w="85" w:type="dxa"/>
              <w:right w:w="85" w:type="dxa"/>
            </w:tcMar>
            <w:vAlign w:val="bottom"/>
          </w:tcPr>
          <w:p w:rsidR="00FA6C41" w:rsidRPr="00AE7496" w:rsidRDefault="00FA6C41" w:rsidP="00395C65">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15</w:t>
            </w:r>
          </w:p>
        </w:tc>
        <w:tc>
          <w:tcPr>
            <w:tcW w:w="828" w:type="pct"/>
            <w:shd w:val="clear" w:color="auto" w:fill="auto"/>
            <w:tcMar>
              <w:top w:w="85" w:type="dxa"/>
              <w:left w:w="85" w:type="dxa"/>
              <w:bottom w:w="85" w:type="dxa"/>
              <w:right w:w="85" w:type="dxa"/>
            </w:tcMar>
            <w:vAlign w:val="bottom"/>
          </w:tcPr>
          <w:p w:rsidR="00FA6C41" w:rsidRPr="00AE7496" w:rsidRDefault="00FA6C41" w:rsidP="00395C65">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10</w:t>
            </w:r>
          </w:p>
        </w:tc>
      </w:tr>
      <w:tr w:rsidR="00FA6C41" w:rsidRPr="00A84AA1">
        <w:trPr>
          <w:trHeight w:hRule="exact" w:val="567"/>
        </w:trPr>
        <w:tc>
          <w:tcPr>
            <w:tcW w:w="3347" w:type="pct"/>
            <w:shd w:val="clear" w:color="auto" w:fill="auto"/>
            <w:tcMar>
              <w:top w:w="85" w:type="dxa"/>
              <w:left w:w="85" w:type="dxa"/>
              <w:bottom w:w="85" w:type="dxa"/>
              <w:right w:w="85" w:type="dxa"/>
            </w:tcMar>
            <w:vAlign w:val="bottom"/>
          </w:tcPr>
          <w:p w:rsidR="00FA6C41" w:rsidRPr="00AE7496" w:rsidRDefault="00FA6C41" w:rsidP="00A84AA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Total number of matters finalised</w:t>
            </w:r>
            <w:r w:rsidRPr="00AE7496">
              <w:rPr>
                <w:rFonts w:ascii="SamoSansPro-Light" w:hAnsi="SamoSansPro-Light" w:cs="SamoSansPro-Light"/>
                <w:color w:val="000000"/>
                <w:szCs w:val="22"/>
                <w:vertAlign w:val="superscript"/>
                <w:lang w:val="en-GB"/>
              </w:rPr>
              <w:t>a</w:t>
            </w:r>
            <w:r w:rsidRPr="00AE7496">
              <w:rPr>
                <w:rFonts w:ascii="SamoSansPro-Light" w:hAnsi="SamoSansPro-Light" w:cs="SamoSansPro-Light"/>
                <w:color w:val="000000"/>
                <w:szCs w:val="22"/>
                <w:lang w:val="en-GB"/>
              </w:rPr>
              <w:t xml:space="preserve"> </w:t>
            </w:r>
          </w:p>
        </w:tc>
        <w:tc>
          <w:tcPr>
            <w:tcW w:w="825" w:type="pct"/>
            <w:shd w:val="clear" w:color="auto" w:fill="auto"/>
            <w:tcMar>
              <w:top w:w="85" w:type="dxa"/>
              <w:left w:w="85" w:type="dxa"/>
              <w:bottom w:w="85" w:type="dxa"/>
              <w:right w:w="85" w:type="dxa"/>
            </w:tcMar>
            <w:vAlign w:val="bottom"/>
          </w:tcPr>
          <w:p w:rsidR="00FA6C41" w:rsidRPr="00AE7496" w:rsidRDefault="00FA6C41" w:rsidP="00A84AA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40</w:t>
            </w:r>
          </w:p>
        </w:tc>
        <w:tc>
          <w:tcPr>
            <w:tcW w:w="828" w:type="pct"/>
            <w:shd w:val="clear" w:color="auto" w:fill="auto"/>
            <w:tcMar>
              <w:top w:w="85" w:type="dxa"/>
              <w:left w:w="85" w:type="dxa"/>
              <w:bottom w:w="85" w:type="dxa"/>
              <w:right w:w="85" w:type="dxa"/>
            </w:tcMar>
            <w:vAlign w:val="bottom"/>
          </w:tcPr>
          <w:p w:rsidR="00FA6C41" w:rsidRPr="00AE7496" w:rsidRDefault="00FA6C41" w:rsidP="00A84AA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47</w:t>
            </w:r>
          </w:p>
        </w:tc>
      </w:tr>
      <w:tr w:rsidR="00FA6C41" w:rsidRPr="00A84AA1">
        <w:trPr>
          <w:trHeight w:val="283"/>
        </w:trPr>
        <w:tc>
          <w:tcPr>
            <w:tcW w:w="3347" w:type="pct"/>
            <w:shd w:val="clear" w:color="auto" w:fill="auto"/>
            <w:tcMar>
              <w:top w:w="85" w:type="dxa"/>
              <w:left w:w="85" w:type="dxa"/>
              <w:bottom w:w="85" w:type="dxa"/>
              <w:right w:w="85" w:type="dxa"/>
            </w:tcMar>
            <w:vAlign w:val="bottom"/>
          </w:tcPr>
          <w:p w:rsidR="00FA6C41" w:rsidRPr="00AE7496" w:rsidRDefault="00FA6C41" w:rsidP="00A84AA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Percentage of cases referred to regulatory bodies where a possible threat to life or health of a patient is identified</w:t>
            </w:r>
          </w:p>
        </w:tc>
        <w:tc>
          <w:tcPr>
            <w:tcW w:w="825" w:type="pct"/>
            <w:shd w:val="clear" w:color="auto" w:fill="auto"/>
            <w:tcMar>
              <w:top w:w="85" w:type="dxa"/>
              <w:left w:w="85" w:type="dxa"/>
              <w:bottom w:w="85" w:type="dxa"/>
              <w:right w:w="85" w:type="dxa"/>
            </w:tcMar>
            <w:vAlign w:val="bottom"/>
          </w:tcPr>
          <w:p w:rsidR="00FA6C41" w:rsidRPr="00AE7496" w:rsidRDefault="00FA6C41" w:rsidP="00A84AA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100%</w:t>
            </w:r>
          </w:p>
        </w:tc>
        <w:tc>
          <w:tcPr>
            <w:tcW w:w="828" w:type="pct"/>
            <w:shd w:val="clear" w:color="auto" w:fill="auto"/>
            <w:tcMar>
              <w:top w:w="85" w:type="dxa"/>
              <w:left w:w="85" w:type="dxa"/>
              <w:bottom w:w="85" w:type="dxa"/>
              <w:right w:w="85" w:type="dxa"/>
            </w:tcMar>
            <w:vAlign w:val="bottom"/>
          </w:tcPr>
          <w:p w:rsidR="00FA6C41" w:rsidRPr="00AE7496" w:rsidRDefault="00FA6C41" w:rsidP="00A84AA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100%</w:t>
            </w:r>
          </w:p>
        </w:tc>
      </w:tr>
      <w:tr w:rsidR="00FA6C41" w:rsidRPr="00A84AA1">
        <w:trPr>
          <w:trHeight w:val="283"/>
        </w:trPr>
        <w:tc>
          <w:tcPr>
            <w:tcW w:w="3347" w:type="pct"/>
            <w:shd w:val="clear" w:color="auto" w:fill="auto"/>
            <w:tcMar>
              <w:top w:w="85" w:type="dxa"/>
              <w:left w:w="85" w:type="dxa"/>
              <w:bottom w:w="85" w:type="dxa"/>
              <w:right w:w="85" w:type="dxa"/>
            </w:tcMar>
            <w:vAlign w:val="bottom"/>
          </w:tcPr>
          <w:p w:rsidR="00FA6C41" w:rsidRPr="00AE7496" w:rsidRDefault="00FA6C41" w:rsidP="00FD6893">
            <w:pPr>
              <w:pStyle w:val="bodytext"/>
              <w:rPr>
                <w:rFonts w:ascii="SamoSansPro-Light" w:hAnsi="SamoSansPro-Light"/>
              </w:rPr>
            </w:pPr>
            <w:r w:rsidRPr="00AE7496">
              <w:t>Total PSR actions upheld by the courts after appeal</w:t>
            </w:r>
          </w:p>
        </w:tc>
        <w:tc>
          <w:tcPr>
            <w:tcW w:w="825" w:type="pct"/>
            <w:shd w:val="clear" w:color="auto" w:fill="auto"/>
            <w:tcMar>
              <w:top w:w="85" w:type="dxa"/>
              <w:left w:w="85" w:type="dxa"/>
              <w:bottom w:w="85" w:type="dxa"/>
              <w:right w:w="85" w:type="dxa"/>
            </w:tcMar>
            <w:vAlign w:val="bottom"/>
          </w:tcPr>
          <w:p w:rsidR="00FA6C41" w:rsidRPr="00FD6893" w:rsidRDefault="00FA6C41" w:rsidP="00FD6893">
            <w:pPr>
              <w:pStyle w:val="bodytext"/>
              <w:jc w:val="right"/>
              <w:rPr>
                <w:rFonts w:ascii="SamoSansPro-Light" w:hAnsi="SamoSansPro-Light"/>
                <w:b/>
              </w:rPr>
            </w:pPr>
            <w:r w:rsidRPr="00FD6893">
              <w:rPr>
                <w:b/>
              </w:rPr>
              <w:t>100%</w:t>
            </w:r>
          </w:p>
        </w:tc>
        <w:tc>
          <w:tcPr>
            <w:tcW w:w="828" w:type="pct"/>
            <w:shd w:val="clear" w:color="auto" w:fill="auto"/>
            <w:tcMar>
              <w:top w:w="85" w:type="dxa"/>
              <w:left w:w="85" w:type="dxa"/>
              <w:bottom w:w="85" w:type="dxa"/>
              <w:right w:w="85" w:type="dxa"/>
            </w:tcMar>
            <w:vAlign w:val="bottom"/>
          </w:tcPr>
          <w:p w:rsidR="00FA6C41" w:rsidRPr="00FD6893" w:rsidRDefault="00FA6C41" w:rsidP="00FD6893">
            <w:pPr>
              <w:pStyle w:val="bodytext"/>
              <w:jc w:val="right"/>
              <w:rPr>
                <w:rFonts w:ascii="SamoSansPro-Light" w:hAnsi="SamoSansPro-Light"/>
                <w:b/>
              </w:rPr>
            </w:pPr>
            <w:r w:rsidRPr="00FD6893">
              <w:rPr>
                <w:b/>
              </w:rPr>
              <w:t>100%</w:t>
            </w:r>
          </w:p>
        </w:tc>
      </w:tr>
    </w:tbl>
    <w:p w:rsidR="00FA6C41" w:rsidRPr="00FA6C41" w:rsidRDefault="00FA6C41" w:rsidP="00946300">
      <w:pPr>
        <w:pStyle w:val="tablenotesbullets"/>
      </w:pPr>
      <w:r w:rsidRPr="00FA6C41">
        <w:t xml:space="preserve">a. </w:t>
      </w:r>
      <w:r w:rsidRPr="00FA6C41">
        <w:tab/>
        <w:t xml:space="preserve">This figure includes section 91 no further actions, section 92 negotiated agreements and final determinations resulting from a committee hearing. The figure excludes </w:t>
      </w:r>
      <w:proofErr w:type="gramStart"/>
      <w:r w:rsidRPr="00FA6C41">
        <w:t>cases which</w:t>
      </w:r>
      <w:proofErr w:type="gramEnd"/>
      <w:r w:rsidRPr="00FA6C41">
        <w:t xml:space="preserve"> have lapsed under section 94.</w:t>
      </w:r>
    </w:p>
    <w:p w:rsidR="00FA6C41" w:rsidRPr="00FA6C41" w:rsidRDefault="00FA6C41" w:rsidP="00946300">
      <w:pPr>
        <w:pStyle w:val="Heading2"/>
        <w:rPr>
          <w:rFonts w:ascii="ArialNarrow" w:hAnsi="ArialNarrow" w:cs="ArialNarrow"/>
          <w:szCs w:val="22"/>
        </w:rPr>
      </w:pPr>
      <w:bookmarkStart w:id="99" w:name="_Toc275439481"/>
      <w:bookmarkStart w:id="100" w:name="_Toc276040182"/>
      <w:r w:rsidRPr="00FA6C41">
        <w:t>Director’s comments</w:t>
      </w:r>
      <w:bookmarkEnd w:id="99"/>
      <w:bookmarkEnd w:id="100"/>
    </w:p>
    <w:p w:rsidR="00FA6C41" w:rsidRPr="00FA6C41" w:rsidRDefault="00FA6C41" w:rsidP="00946300">
      <w:pPr>
        <w:pStyle w:val="Heading3"/>
        <w:rPr>
          <w:lang w:val="en-GB"/>
        </w:rPr>
      </w:pPr>
      <w:bookmarkStart w:id="101" w:name="_Toc275439482"/>
      <w:bookmarkStart w:id="102" w:name="_Toc276039578"/>
      <w:bookmarkStart w:id="103" w:name="_Toc276039941"/>
      <w:bookmarkStart w:id="104" w:name="_Toc276040183"/>
      <w:r w:rsidRPr="00FA6C41">
        <w:rPr>
          <w:lang w:val="en-GB"/>
        </w:rPr>
        <w:t>Some recurrent issues</w:t>
      </w:r>
      <w:bookmarkEnd w:id="101"/>
      <w:bookmarkEnd w:id="102"/>
      <w:bookmarkEnd w:id="103"/>
      <w:bookmarkEnd w:id="104"/>
    </w:p>
    <w:p w:rsidR="00FA6C41" w:rsidRPr="00FA6C41" w:rsidRDefault="00FA6C41" w:rsidP="00D21D48">
      <w:pPr>
        <w:pStyle w:val="bodytext"/>
      </w:pPr>
      <w:r w:rsidRPr="00FA6C41">
        <w:t xml:space="preserve">The Medical Board of Australia publication </w:t>
      </w:r>
      <w:r w:rsidRPr="00946300">
        <w:rPr>
          <w:i/>
        </w:rPr>
        <w:t>Good Medical Practice: A Code of Conduct for Doctors in Australia</w:t>
      </w:r>
      <w:r w:rsidRPr="00FA6C41">
        <w:t xml:space="preserve"> reminds doctors that they have ‘a responsibility to contribute to the effectiveness and efficiency of the health system’ by the ‘wise use of health care resources’; that they should ensure the services they provide are ‘necessary and likely to benefit the patient’; and that they ‘are expected to reflect regularly on whether they are practising effectively’. </w:t>
      </w:r>
    </w:p>
    <w:p w:rsidR="00FA6C41" w:rsidRPr="00FA6C41" w:rsidRDefault="00FA6C41" w:rsidP="00D21D48">
      <w:pPr>
        <w:pStyle w:val="bodytext"/>
      </w:pPr>
      <w:r w:rsidRPr="00FA6C41">
        <w:t xml:space="preserve">It is PSR’s experience that some practitioners do not heed these principles. Previous PSR Annual Reports, including the 2012–13 report, included examples of some practice patterns commonly referred to PSR by the Department of Human Services (Medicare). </w:t>
      </w:r>
    </w:p>
    <w:p w:rsidR="00FA6C41" w:rsidRPr="00FA6C41" w:rsidRDefault="00FA6C41" w:rsidP="00D21D48">
      <w:pPr>
        <w:pStyle w:val="bodytext"/>
      </w:pPr>
      <w:r w:rsidRPr="00FA6C41">
        <w:t>Medicare refers a wide range of issues to PSR. Some specific matters referred to PSR during the 2013–14 year are discussed below. Other concerns considered by PSR consultants and PSR committees during 2013–14 were similar to matters discussed in previous PSR Annual Reports.</w:t>
      </w:r>
    </w:p>
    <w:p w:rsidR="00FA6C41" w:rsidRPr="00FA6C41" w:rsidRDefault="00FA6C41" w:rsidP="00946300">
      <w:pPr>
        <w:pStyle w:val="Heading41"/>
      </w:pPr>
      <w:r w:rsidRPr="00FA6C41">
        <w:t xml:space="preserve">Chronic disease management items </w:t>
      </w:r>
    </w:p>
    <w:p w:rsidR="00FA6C41" w:rsidRPr="00FA6C41" w:rsidRDefault="00FA6C41" w:rsidP="00D21D48">
      <w:pPr>
        <w:pStyle w:val="bodytext"/>
      </w:pPr>
      <w:r w:rsidRPr="00FA6C41">
        <w:t xml:space="preserve">The use of chronic disease management (CDM) Medicare Benefits Schedule (MBS) items was discussed in some detail in PSR’s 2012–13 Annual Report. Items 721, 723 and 732 have been included in the MBS to provide general practitioners (GPs) with a useful mechanism for recording comprehensive, accurate and up-to-date information about a patient’s condition and all the treatment they are receiving. </w:t>
      </w:r>
    </w:p>
    <w:p w:rsidR="00FA6C41" w:rsidRPr="00FA6C41" w:rsidRDefault="00FA6C41" w:rsidP="00D21D48">
      <w:pPr>
        <w:pStyle w:val="bodytext"/>
      </w:pPr>
      <w:r w:rsidRPr="00FA6C41">
        <w:t>To be eligible for CDM items a patient must have a chronic or terminal medical condition that has been or is likely to be present for six months or longer.</w:t>
      </w:r>
    </w:p>
    <w:p w:rsidR="00FA6C41" w:rsidRPr="00FA6C41" w:rsidRDefault="00FA6C41" w:rsidP="00D21D48">
      <w:pPr>
        <w:pStyle w:val="bodytext"/>
      </w:pPr>
      <w:r w:rsidRPr="00FA6C41">
        <w:t xml:space="preserve">Item 723 (for a team care arrangement (TCA)) provides for GPs to refer patients to allied health practitioners such as physiotherapists, dieticians and podiatrists so that services provided by these practitioners attract Medicare rebates. Advice to GPs from the Government stresses, however: ‘The chronic disease planning process is not simply a mechanism to provide Medicare rebates for allied health services’.  </w:t>
      </w:r>
    </w:p>
    <w:p w:rsidR="00FA6C41" w:rsidRPr="00FA6C41" w:rsidRDefault="00FA6C41" w:rsidP="00D21D48">
      <w:pPr>
        <w:pStyle w:val="bodytext"/>
      </w:pPr>
      <w:r w:rsidRPr="00FA6C41">
        <w:t xml:space="preserve">Many practitioners are referred to PSR after providing very high numbers of these CDM services compared to the number of these services provided by a ‘typical’ GP. </w:t>
      </w:r>
    </w:p>
    <w:p w:rsidR="00FA6C41" w:rsidRPr="00FA6C41" w:rsidRDefault="00FA6C41" w:rsidP="00D21D48">
      <w:pPr>
        <w:pStyle w:val="bodytext"/>
      </w:pPr>
      <w:r w:rsidRPr="00FA6C41">
        <w:t>In the past, PSR Annual Reports have noted that many referrals to PSR involving CDM items were in respect of referrals for dental treatment under the Chronic Disease Dental Scheme (CDDS). The Government terminated the CDDS in 2012. However, in line with Medicare data showing growing utilisation of CDM items despite the termination of the CDDS, the number of referrals to PSR involving practitioners’ use of CDM items continues to rise.</w:t>
      </w:r>
    </w:p>
    <w:p w:rsidR="00FA6C41" w:rsidRPr="00FA6C41" w:rsidRDefault="00FA6C41" w:rsidP="00D21D48">
      <w:pPr>
        <w:pStyle w:val="bodytext"/>
      </w:pPr>
      <w:r w:rsidRPr="00FA6C41">
        <w:t>PSR peer review committees have to consider many issues in assessing whether the generation of a GP management plan (GPMP) and an associated team care arrangement with referrals to allied health practitioners reflects appropriate practice. These issues include the following points.</w:t>
      </w:r>
    </w:p>
    <w:p w:rsidR="00FA6C41" w:rsidRPr="00FA6C41" w:rsidRDefault="00FA6C41" w:rsidP="00FA6C41">
      <w:pPr>
        <w:pStyle w:val="ListBullet"/>
        <w:rPr>
          <w:lang w:val="en-GB"/>
        </w:rPr>
      </w:pPr>
      <w:r w:rsidRPr="00FA6C41">
        <w:rPr>
          <w:lang w:val="en-GB"/>
        </w:rPr>
        <w:t>Many practitioners who provide high numbers of these services use computer-generated templates, and a plan may have minimal input specific to the patient for whom the plan has been prepared.</w:t>
      </w:r>
    </w:p>
    <w:p w:rsidR="00FA6C41" w:rsidRPr="00FA6C41" w:rsidRDefault="00FA6C41" w:rsidP="00FA6C41">
      <w:pPr>
        <w:pStyle w:val="ListBullet"/>
        <w:rPr>
          <w:lang w:val="en-GB"/>
        </w:rPr>
      </w:pPr>
      <w:r w:rsidRPr="00FA6C41">
        <w:rPr>
          <w:lang w:val="en-GB"/>
        </w:rPr>
        <w:t>Some GPs delegate much of the work of preparing a plan and liaising with allied health practitioners to a practice nurse. Assistance is appropriate but formal advice to GPs is that ‘the GP retains responsibility for the health, safety and clinical outcomes of the patient’ and ‘the GP must review and confirm all assessments and arrangements, and see the patient’. In many cases clinical records reviewed by PSR suggest that input by the GP has been minimal.</w:t>
      </w:r>
    </w:p>
    <w:p w:rsidR="00FA6C41" w:rsidRPr="00FA6C41" w:rsidRDefault="00FA6C41" w:rsidP="00FA6C41">
      <w:pPr>
        <w:pStyle w:val="ListBullet"/>
        <w:rPr>
          <w:lang w:val="en-GB"/>
        </w:rPr>
      </w:pPr>
      <w:r w:rsidRPr="00FA6C41">
        <w:rPr>
          <w:lang w:val="en-GB"/>
        </w:rPr>
        <w:t>The more fundamental challenge for PSR peer review committees is assessing whether a plan and team care referrals are, given all the circumstances, ‘clinically relevant’ in that they reflect the aims of the CDM program of supporting ‘a structured care approach’. The challenge is to assess what the use of these CDM items adds to the care of a patient.</w:t>
      </w:r>
    </w:p>
    <w:p w:rsidR="00FA6C41" w:rsidRPr="00FA6C41" w:rsidRDefault="00FA6C41" w:rsidP="00D21D48">
      <w:pPr>
        <w:pStyle w:val="bodytext"/>
      </w:pPr>
      <w:r w:rsidRPr="00FA6C41">
        <w:t>PSR finds that some practitioners appear to regard the requirements detailed in the Medicare Benefits Schedule Book pertaining to these items as a bureaucratic compliance matter to allow patient access to Medicare rebates for allied health services, rather than a guide to providing and coordinating complex, demanding professional medical and allied health services to patients with significant chronic conditions.</w:t>
      </w:r>
    </w:p>
    <w:p w:rsidR="00FA6C41" w:rsidRPr="00FA6C41" w:rsidRDefault="00FA6C41" w:rsidP="00D21D48">
      <w:pPr>
        <w:pStyle w:val="bodytext"/>
      </w:pPr>
      <w:r w:rsidRPr="00FA6C41">
        <w:t>Publically available data on the Medicare website (‘Provider Percentile Charts’) for the period 1 January 2013 to 31 December 2013 shows that 50 per cent of GPs provided 32 or fewer Item 721 services and 95 per cent of GPs fewer than 220 services, and that 50 per cent claimed 29 or fewer Item 723 services and 95 per cent claimed 173 or fewer Item 723 services.</w:t>
      </w:r>
    </w:p>
    <w:p w:rsidR="00FA6C41" w:rsidRPr="00FA6C41" w:rsidRDefault="00FA6C41" w:rsidP="00D21D48">
      <w:pPr>
        <w:pStyle w:val="bodytext"/>
      </w:pPr>
      <w:r w:rsidRPr="00FA6C41">
        <w:t xml:space="preserve">A typical referral to PSR from Medicare which included a concern regarding high numbers of CDM items provided by a practitioner working in a large outer suburban practice who provided over 17,000 total services and was an ‘80/20’ referral (see ‘The 80/20 rule’ below). In the </w:t>
      </w:r>
      <w:proofErr w:type="gramStart"/>
      <w:r w:rsidRPr="00FA6C41">
        <w:t>year reviewed</w:t>
      </w:r>
      <w:proofErr w:type="gramEnd"/>
      <w:r w:rsidRPr="00FA6C41">
        <w:t xml:space="preserve"> services provided included over 400 Item 721 services, over 400 team care arrangements and over 1,300 Item 732 reviews of items 721 and 723. On review of a sample of this practitioner’s plans, PSR noted little evidence of input by anyone other than the practice nurse. Most of the content of a plan was “generic” computer-generated template material with just a few specific measures such as blood pressure and weight added by the practice nurse. This practitioner did not see the patients at all on the day the plan was completed. She argued that GP input came from attendances, often some weeks earlier, at which an appointment was made to see the practice nurse for completion of CDM documentation.</w:t>
      </w:r>
    </w:p>
    <w:p w:rsidR="00FA6C41" w:rsidRPr="00FA6C41" w:rsidRDefault="00FA6C41" w:rsidP="00D21D48">
      <w:pPr>
        <w:pStyle w:val="bodytext"/>
      </w:pPr>
      <w:r w:rsidRPr="00FA6C41">
        <w:t>The chronic disease management MBS items attract quite substantial Medicare rebates. At 1 July 2012, the MBS fees were $138.75 for a GPMP, $109.95 for preparing a TCA, and $69.35 for reviewing a GPMP or TCA. These fees imply that, in developing these MBS items, GP professional organisations and the Government anticipated that they would, when used appropriately, require considerable time and professional input by the medical practitioner rendering the service.</w:t>
      </w:r>
    </w:p>
    <w:p w:rsidR="00FA6C41" w:rsidRPr="00FA6C41" w:rsidRDefault="00FA6C41" w:rsidP="00D21D48">
      <w:pPr>
        <w:pStyle w:val="bodytext"/>
      </w:pPr>
      <w:r w:rsidRPr="00FA6C41">
        <w:t xml:space="preserve">Detailed requirements for properly and adequately undertaking GPMPs, TCAs and plan reviews are provided to GPs in paragraph A.37 of the Medicare Benefits Schedule Book. As well, the Department of Health provides the detailed document </w:t>
      </w:r>
      <w:r w:rsidRPr="000B0CD9">
        <w:rPr>
          <w:i/>
        </w:rPr>
        <w:t>Chronic Disease Management—Medicare Items—Questions and Answers</w:t>
      </w:r>
      <w:r w:rsidRPr="00FA6C41">
        <w:t xml:space="preserve"> at </w:t>
      </w:r>
      <w:r w:rsidRPr="000B0CD9">
        <w:rPr>
          <w:u w:val="single"/>
        </w:rPr>
        <w:t>www.health.gov.au/internet/main/publishing.nsf/Content/mbsprimarycare-chronicdiseasemanagement-qanda.</w:t>
      </w:r>
    </w:p>
    <w:p w:rsidR="00FA6C41" w:rsidRPr="00FA6C41" w:rsidRDefault="00FA6C41" w:rsidP="000B0CD9">
      <w:pPr>
        <w:pStyle w:val="Heading41"/>
      </w:pPr>
      <w:r w:rsidRPr="00FA6C41">
        <w:t xml:space="preserve">The 80/20 </w:t>
      </w:r>
      <w:proofErr w:type="gramStart"/>
      <w:r w:rsidRPr="00FA6C41">
        <w:t>rule</w:t>
      </w:r>
      <w:proofErr w:type="gramEnd"/>
    </w:p>
    <w:p w:rsidR="00FA6C41" w:rsidRPr="00FA6C41" w:rsidRDefault="00FA6C41" w:rsidP="00D21D48">
      <w:pPr>
        <w:pStyle w:val="bodytext"/>
      </w:pPr>
      <w:r w:rsidRPr="00FA6C41">
        <w:t xml:space="preserve">Practitioners continue to be referred under the ‘80/20 rule’, which applies only to GPs. GPs who provide 80 or more attendance MBS items on 20 or more days in a year are automatically deemed to have engaged in ‘inappropriate practice’ unless they can demonstrate ‘exceptional circumstances’. </w:t>
      </w:r>
    </w:p>
    <w:p w:rsidR="00FA6C41" w:rsidRPr="00FA6C41" w:rsidRDefault="00FA6C41" w:rsidP="00D21D48">
      <w:pPr>
        <w:pStyle w:val="bodytext"/>
      </w:pPr>
      <w:r w:rsidRPr="00FA6C41">
        <w:t xml:space="preserve">Recent referrals under the 80/20 </w:t>
      </w:r>
      <w:proofErr w:type="gramStart"/>
      <w:r w:rsidRPr="00FA6C41">
        <w:t>rule</w:t>
      </w:r>
      <w:proofErr w:type="gramEnd"/>
      <w:r w:rsidRPr="00FA6C41">
        <w:t xml:space="preserve"> include practitioners whose service profile showed large numbers of CDM items. Such a pattern of servicing is inherently of concern given that CDM items, if used appropriately, require extended, time-consuming input from the medical practitioner.</w:t>
      </w:r>
    </w:p>
    <w:p w:rsidR="00FA6C41" w:rsidRPr="00FA6C41" w:rsidRDefault="00FA6C41" w:rsidP="00D21D48">
      <w:pPr>
        <w:pStyle w:val="bodytext"/>
      </w:pPr>
      <w:r w:rsidRPr="00FA6C41">
        <w:t>In one case, the services of a general practitioner in their first seven months of practice in Australia (during which period there were seven weeks when the practitioner saw no patients) attracted Medicare benefits of almost $600,000. In this period almost 9,000 services were provided to 4,000 patients. This included more than 25 days on which they provided 80 or more attendance services. On each of these days the services provided usually included 10 or more claims for complex GP management plans and other CDM items (items 721, 723 and 732).</w:t>
      </w:r>
    </w:p>
    <w:p w:rsidR="00FA6C41" w:rsidRPr="00FA6C41" w:rsidRDefault="00FA6C41" w:rsidP="00D21D48">
      <w:pPr>
        <w:pStyle w:val="bodytext"/>
      </w:pPr>
      <w:r w:rsidRPr="00FA6C41">
        <w:t xml:space="preserve">Another practitioner referred to PSR rendered 80 or more attendance services on each of 165 days. These services included almost 1,700 attendances claimed under MBS Item 2713, an item rendered for ‘a patient in relation to a mental disorder and lasting at least 20 minutes’ and almost 250 services under Item 707 for a health assessment ‘lasting at least 60 minutes’ and including ‘comprehensive information collection’ and ‘an extensive examination of the patient’s medical condition, and physical, psychological and social function’. This practitioner had migrated to Australia under the sponsorship of a corporate practice and was practising under </w:t>
      </w:r>
      <w:proofErr w:type="gramStart"/>
      <w:r w:rsidRPr="00FA6C41">
        <w:t>an ‘area</w:t>
      </w:r>
      <w:proofErr w:type="gramEnd"/>
      <w:r w:rsidRPr="00FA6C41">
        <w:t xml:space="preserve"> of need’ provision which restricted his practice to one location. This case raised an interesting issue in that the PSR committee of peers appointed to assess whether this practitioner had engaged in ‘inappropriate practice’ had some sympathy for the practitioner’s assertion that he had been required by the sponsoring practice to work very long hours.</w:t>
      </w:r>
    </w:p>
    <w:p w:rsidR="00FA6C41" w:rsidRPr="00FA6C41" w:rsidRDefault="00FA6C41" w:rsidP="000B0CD9">
      <w:pPr>
        <w:pStyle w:val="Heading3"/>
      </w:pPr>
      <w:bookmarkStart w:id="105" w:name="_Toc275439483"/>
      <w:bookmarkStart w:id="106" w:name="_Toc276039579"/>
      <w:bookmarkStart w:id="107" w:name="_Toc276039942"/>
      <w:bookmarkStart w:id="108" w:name="_Toc276040184"/>
      <w:r w:rsidRPr="00FA6C41">
        <w:t>A challenging issue for PSR: unorthodox practice</w:t>
      </w:r>
      <w:bookmarkEnd w:id="105"/>
      <w:bookmarkEnd w:id="106"/>
      <w:bookmarkEnd w:id="107"/>
      <w:bookmarkEnd w:id="108"/>
    </w:p>
    <w:p w:rsidR="00FA6C41" w:rsidRPr="00FA6C41" w:rsidRDefault="00FA6C41" w:rsidP="00D21D48">
      <w:pPr>
        <w:pStyle w:val="bodytext"/>
      </w:pPr>
      <w:r w:rsidRPr="00FA6C41">
        <w:t xml:space="preserve">Over the last year or so PSR has been referred several medical practitioners who provide services outside the scope of practice of the vast majority of medical practitioners. </w:t>
      </w:r>
    </w:p>
    <w:p w:rsidR="00FA6C41" w:rsidRPr="00FA6C41" w:rsidRDefault="00FA6C41" w:rsidP="00D21D48">
      <w:pPr>
        <w:pStyle w:val="bodytext"/>
      </w:pPr>
      <w:r w:rsidRPr="00FA6C41">
        <w:t xml:space="preserve">The American medical historian Charles Rosenberg suggests ‘casual use of the terms orthodox and unorthodox’ carry with them ‘echoes of distant yet intense theological battles and agendas’. Rosenberg suggests: </w:t>
      </w:r>
    </w:p>
    <w:p w:rsidR="00FA6C41" w:rsidRPr="00FA6C41" w:rsidRDefault="00FA6C41" w:rsidP="00D21D48">
      <w:pPr>
        <w:pStyle w:val="bodytext"/>
        <w:ind w:left="851"/>
      </w:pPr>
      <w:proofErr w:type="gramStart"/>
      <w:r w:rsidRPr="00FA6C41">
        <w:t>there</w:t>
      </w:r>
      <w:proofErr w:type="gramEnd"/>
      <w:r w:rsidRPr="00FA6C41">
        <w:t xml:space="preserve"> will always be a gap between medicine as a social function—what happens to men and women when they feel ill or fear becoming ill—and the more limited and in some ways arbitrarily bounded enterprise of biomedicine. Alternative medicines will continue to thrive in the ever-shifting space constituted by needs that mainstream medicine cannot or </w:t>
      </w:r>
      <w:proofErr w:type="gramStart"/>
      <w:r w:rsidRPr="00FA6C41">
        <w:t>will not–and perhaps should</w:t>
      </w:r>
      <w:proofErr w:type="gramEnd"/>
      <w:r w:rsidRPr="00FA6C41">
        <w:t xml:space="preserve"> not–consistently address.</w:t>
      </w:r>
    </w:p>
    <w:p w:rsidR="00FA6C41" w:rsidRPr="00FA6C41" w:rsidRDefault="00FA6C41" w:rsidP="00D21D48">
      <w:pPr>
        <w:pStyle w:val="bodytext"/>
      </w:pPr>
      <w:r w:rsidRPr="00FA6C41">
        <w:t xml:space="preserve">Such academic speculation provides interesting perspectives. However in the meantime PSR is required to assess referrals from Medicare in respect of services and treatments a majority of doctors might regard as ‘unorthodox’. </w:t>
      </w:r>
    </w:p>
    <w:p w:rsidR="00FA6C41" w:rsidRPr="00FA6C41" w:rsidRDefault="00FA6C41" w:rsidP="00D21D48">
      <w:pPr>
        <w:pStyle w:val="bodytext"/>
      </w:pPr>
      <w:r w:rsidRPr="00FA6C41">
        <w:t>These practitioners are referred to PSR when Medicare determines that the pattern of Medicare payments supporting such practice is unusual. It has been challenging for PSR and its peer review committees to determine which, if any, of the services provided by these practitioners appropriately attracted Medicare benefits. That is, are services such as standard attendances inherently part of the ‘unorthodox’ treatments or are they, as some of these practitioners have argued, eligible for MBS rebates separate from the actual provision of an unorthodox treatment? Practitioners have argued that, for example, initial assessments were to assess the suitability for treatment and not part of the unorthodox treatment.</w:t>
      </w:r>
    </w:p>
    <w:p w:rsidR="00FA6C41" w:rsidRPr="00FA6C41" w:rsidRDefault="00FA6C41" w:rsidP="000B0CD9">
      <w:pPr>
        <w:pStyle w:val="Heading41"/>
      </w:pPr>
      <w:r w:rsidRPr="00FA6C41">
        <w:t>Chronic pain and migraines</w:t>
      </w:r>
    </w:p>
    <w:p w:rsidR="00FA6C41" w:rsidRPr="00FA6C41" w:rsidRDefault="00FA6C41" w:rsidP="00D21D48">
      <w:pPr>
        <w:pStyle w:val="bodytext"/>
      </w:pPr>
      <w:r w:rsidRPr="00FA6C41">
        <w:t xml:space="preserve">One practitioner who was referred provided ‘low-level laser’ treatments. This practitioner explained that some patients ‘have had severe and chronic pain, often neck pain or back pain, often with migraine, and sometimes with tinnitus, secondary to neck injury … The patients have often been attending medical practitioners and allied practitioners for many years, usually in excess of 20 years. A significant number have lost faith in medical practitioners’.  </w:t>
      </w:r>
    </w:p>
    <w:p w:rsidR="00FA6C41" w:rsidRPr="00FA6C41" w:rsidRDefault="00FA6C41" w:rsidP="00D21D48">
      <w:pPr>
        <w:pStyle w:val="bodytext"/>
      </w:pPr>
      <w:r w:rsidRPr="00FA6C41">
        <w:t>Modalities employed by the practitioner included infrared heat therapy, infrared sauna and the use of low-level laser treatment.</w:t>
      </w:r>
    </w:p>
    <w:p w:rsidR="00FA6C41" w:rsidRPr="00FA6C41" w:rsidRDefault="00FA6C41" w:rsidP="00D21D48">
      <w:pPr>
        <w:pStyle w:val="bodytext"/>
      </w:pPr>
      <w:r w:rsidRPr="00FA6C41">
        <w:t xml:space="preserve">In submissions to PSR this practitioner made a clear distinction, in respect of his payment of Medicare benefits, between his assessment of patients by standard medical approaches and his use of somewhat unconventional treatment modalities. He explained: </w:t>
      </w:r>
    </w:p>
    <w:p w:rsidR="00FA6C41" w:rsidRPr="00FA6C41" w:rsidRDefault="00FA6C41" w:rsidP="00D21D48">
      <w:pPr>
        <w:pStyle w:val="bodytext"/>
        <w:ind w:left="851"/>
      </w:pPr>
      <w:r w:rsidRPr="00FA6C41">
        <w:t xml:space="preserve">We also use an </w:t>
      </w:r>
      <w:proofErr w:type="gramStart"/>
      <w:r w:rsidRPr="00FA6C41">
        <w:t>infra-red</w:t>
      </w:r>
      <w:proofErr w:type="gramEnd"/>
      <w:r w:rsidRPr="00FA6C41">
        <w:t xml:space="preserve"> camera to detect the blood flow within the first 5 millimetres of skin. The camera is used to locate the hot spots of blood flow to the injured sites. The patients are never charged for the photos. No charge is made associated with the </w:t>
      </w:r>
      <w:proofErr w:type="gramStart"/>
      <w:r w:rsidRPr="00FA6C41">
        <w:t>low level</w:t>
      </w:r>
      <w:proofErr w:type="gramEnd"/>
      <w:r w:rsidRPr="00FA6C41">
        <w:t xml:space="preserve"> laser application.</w:t>
      </w:r>
    </w:p>
    <w:p w:rsidR="00FA6C41" w:rsidRPr="00FA6C41" w:rsidRDefault="00FA6C41" w:rsidP="00D21D48">
      <w:pPr>
        <w:pStyle w:val="bodytext"/>
      </w:pPr>
      <w:r w:rsidRPr="00FA6C41">
        <w:t xml:space="preserve">The period covered by this referral was before capping of rebates available on standard GP attendance items through the extended Medicare safety net. Typically patients visited this practitioner on many occasions during the year reviewed. The practitioner used the previous uncapped Medicare safety net arrangements under which, once a threshold was reached, all of a practitioner’s bills were reimbursed by Medicare at 80 per cent of whatever fees were charged. </w:t>
      </w:r>
    </w:p>
    <w:p w:rsidR="00FA6C41" w:rsidRPr="00FA6C41" w:rsidRDefault="00FA6C41" w:rsidP="00D21D48">
      <w:pPr>
        <w:pStyle w:val="bodytext"/>
      </w:pPr>
      <w:r w:rsidRPr="00FA6C41">
        <w:t xml:space="preserve">During the year reviewed by PSR the Medicare fee for a standard GP consultation was $36.60. By using the safety net arrangement, this practitioner’s patients were paid rebates of, on average, $445 for a standard consultation. Similarly Level C (lasting at least 20 minutes) GP attendances by this practitioner, with a standard Medicare fee of $69 at the time, attracted average Medicare rebates of $530. </w:t>
      </w:r>
    </w:p>
    <w:p w:rsidR="00FA6C41" w:rsidRPr="00FA6C41" w:rsidRDefault="00FA6C41" w:rsidP="00D21D48">
      <w:pPr>
        <w:pStyle w:val="bodytext"/>
      </w:pPr>
      <w:r w:rsidRPr="00FA6C41">
        <w:t xml:space="preserve">This practitioner was found by the PSR committee to have engaged in inappropriate practice, and sanctions included repayment of Medicare benefits. In respect of this practitioner’s billing practices, the committee also decided that a majority of attendance items that attracted Medicare benefits were inherently part of the unusual treatments being provided. The committee was concerned that the practitioner had exploited the Medicare arrangements in ways that may constitute unsatisfactory professional conduct, and referred the practitioner to the Medical Board of Australia. </w:t>
      </w:r>
    </w:p>
    <w:p w:rsidR="00FA6C41" w:rsidRPr="00FA6C41" w:rsidRDefault="00FA6C41" w:rsidP="00E33A23">
      <w:pPr>
        <w:pStyle w:val="Heading41"/>
      </w:pPr>
      <w:r w:rsidRPr="00FA6C41">
        <w:t>Unusual treatments</w:t>
      </w:r>
    </w:p>
    <w:p w:rsidR="00FA6C41" w:rsidRPr="003A7362" w:rsidRDefault="00FA6C41" w:rsidP="00D21D48">
      <w:pPr>
        <w:pStyle w:val="bodytext"/>
        <w:rPr>
          <w:rFonts w:ascii="SamoSansPro-Italic" w:hAnsi="SamoSansPro-Italic" w:cs="SamoSansPro-Italic"/>
          <w:i/>
          <w:iCs/>
        </w:rPr>
      </w:pPr>
      <w:r w:rsidRPr="00FA6C41">
        <w:t xml:space="preserve">PSR’s investigation of another practitioner, classified as a GP, raised similar issues including the relationship between attendances for which MBS rebates were claimed and unusual services provided by the practitioner. Again, many patients became eligible for payment of benefits under the Medicare safety net. While in the year under review the practitioner saw fewer than 250 patients, these patients had many visits and attracted average rebates over the year of almost $2,500, mainly for MBS attendance and acupuncture items. The issue again is the relationship between these services and more unusual services being provided by the practitioner concurrently and billed privately outside of Medicare, including unconventional treatments for advanced cancer.  </w:t>
      </w:r>
    </w:p>
    <w:p w:rsidR="00FA6C41" w:rsidRPr="00FA6C41" w:rsidRDefault="00FA6C41" w:rsidP="003A7362">
      <w:pPr>
        <w:pStyle w:val="Heading41"/>
      </w:pPr>
      <w:r w:rsidRPr="00FA6C41">
        <w:t>Subclinical hypothyroidism</w:t>
      </w:r>
    </w:p>
    <w:p w:rsidR="00FA6C41" w:rsidRPr="00FA6C41" w:rsidRDefault="00FA6C41" w:rsidP="00D21D48">
      <w:pPr>
        <w:pStyle w:val="bodytext"/>
      </w:pPr>
      <w:r w:rsidRPr="00FA6C41">
        <w:t xml:space="preserve">Another practitioner referred by Medicare to PSR was recognised under Medicare as a GP but had a practice limited largely to patients with chronic fatigue syndrome and related issues. This practitioner explained that his practice focused on such patients and that he did not provide broader GP services. </w:t>
      </w:r>
    </w:p>
    <w:p w:rsidR="00FA6C41" w:rsidRPr="00FA6C41" w:rsidRDefault="00FA6C41" w:rsidP="00D21D48">
      <w:pPr>
        <w:pStyle w:val="bodytext"/>
      </w:pPr>
      <w:r w:rsidRPr="00FA6C41">
        <w:t xml:space="preserve">In the year reviewed only around 2,500 attendance services provided by the practitioner attracted an MBS benefit. (A ‘typical’ full-time GP provides 7,000 to 8,000 services in a year.) Many patients were billed privately outside the Medicare arrangements for attendance services. </w:t>
      </w:r>
    </w:p>
    <w:p w:rsidR="00FA6C41" w:rsidRPr="00FA6C41" w:rsidRDefault="00FA6C41" w:rsidP="00D21D48">
      <w:pPr>
        <w:pStyle w:val="bodytext"/>
      </w:pPr>
      <w:r w:rsidRPr="00FA6C41">
        <w:t xml:space="preserve">However, this practitioner’s ordering of pathology services under Medicare was among the very highest of all GPs in Australia. On all measures provided to PSR by Medicare (total benefits paid, pathology services per patient, MBS benefits per patient) this practitioner’s ordering of pathology under Medicare was above the 99th percentile compared to all GPs. A feature of this practitioner’s practice was the ordering of very high numbers of tests for thyroid function, Vitamin D levels and various hormone estimations. </w:t>
      </w:r>
    </w:p>
    <w:p w:rsidR="00FA6C41" w:rsidRPr="00FA6C41" w:rsidRDefault="00FA6C41" w:rsidP="00D21D48">
      <w:pPr>
        <w:pStyle w:val="bodytext"/>
      </w:pPr>
      <w:r w:rsidRPr="00FA6C41">
        <w:t xml:space="preserve">This practitioner believed that sub-clinical hypothyroidism was much more common in the Australian community than generally recognised. Management of this condition, he told PSR, requires regular, bimonthly thyroid function testing and regular ‘nuanced’ adjustments to treatment with the short-acting thyroid medication liothyronine. PSR referred to statements in </w:t>
      </w:r>
      <w:r w:rsidRPr="003A7362">
        <w:rPr>
          <w:i/>
        </w:rPr>
        <w:t>Harrison’s Principles of Internal Medicine</w:t>
      </w:r>
      <w:r w:rsidRPr="00FA6C41">
        <w:t xml:space="preserve"> (2012) regarding the treatment of hypothyroidism:</w:t>
      </w:r>
    </w:p>
    <w:p w:rsidR="00FA6C41" w:rsidRPr="00FA6C41" w:rsidRDefault="00FA6C41" w:rsidP="00D21D48">
      <w:pPr>
        <w:pStyle w:val="bodytext"/>
        <w:ind w:left="709"/>
      </w:pPr>
      <w:r w:rsidRPr="00FA6C41">
        <w:t>The use of levothyroxine combined with liothyronine has been investigated, but benefit has not been confirmed in prospective studies … There is no place for liothyronine alone as long-term replacement, because the short half-life necessitates three or four daily doses and is associated with fluctuating T3 levels … Once full replacement is achieved and TSH levels are stable, follow up measurement of TSH is recommended at annual intervals.</w:t>
      </w:r>
    </w:p>
    <w:p w:rsidR="00FA6C41" w:rsidRPr="00FA6C41" w:rsidRDefault="00FA6C41" w:rsidP="00D21D48">
      <w:pPr>
        <w:pStyle w:val="bodytext"/>
      </w:pPr>
      <w:r w:rsidRPr="00FA6C41">
        <w:t>The practitioner argued that the textbook is wrong.</w:t>
      </w:r>
    </w:p>
    <w:p w:rsidR="00FA6C41" w:rsidRPr="00FA6C41" w:rsidRDefault="00FA6C41" w:rsidP="003A7362">
      <w:pPr>
        <w:pStyle w:val="Heading3"/>
        <w:rPr>
          <w:lang w:val="en-GB"/>
        </w:rPr>
      </w:pPr>
      <w:bookmarkStart w:id="109" w:name="_Toc275439484"/>
      <w:bookmarkStart w:id="110" w:name="_Toc276039580"/>
      <w:bookmarkStart w:id="111" w:name="_Toc276039943"/>
      <w:bookmarkStart w:id="112" w:name="_Toc276040185"/>
      <w:r w:rsidRPr="00FA6C41">
        <w:rPr>
          <w:lang w:val="en-GB"/>
        </w:rPr>
        <w:t>Summary</w:t>
      </w:r>
      <w:bookmarkEnd w:id="109"/>
      <w:bookmarkEnd w:id="110"/>
      <w:bookmarkEnd w:id="111"/>
      <w:bookmarkEnd w:id="112"/>
    </w:p>
    <w:p w:rsidR="00FA6C41" w:rsidRPr="00FA6C41" w:rsidRDefault="00FA6C41" w:rsidP="00D21D48">
      <w:pPr>
        <w:pStyle w:val="bodytext"/>
      </w:pPr>
      <w:r w:rsidRPr="00FA6C41">
        <w:t>In any year only a very small number of the 100,000 or so medical and other practitioners whose services attract Medicare benefits are referred to PSR. In 2013</w:t>
      </w:r>
      <w:proofErr w:type="gramStart"/>
      <w:r w:rsidRPr="00FA6C41">
        <w:t>–14, the year under review in this Annual Report, 44 practitioners were referred to PSR by Medicare</w:t>
      </w:r>
      <w:proofErr w:type="gramEnd"/>
      <w:r w:rsidRPr="00FA6C41">
        <w:t xml:space="preserve">.  </w:t>
      </w:r>
    </w:p>
    <w:p w:rsidR="00FA6C41" w:rsidRPr="003A7362" w:rsidRDefault="00FA6C41" w:rsidP="00D21D48">
      <w:pPr>
        <w:pStyle w:val="bodytext"/>
      </w:pPr>
      <w:r w:rsidRPr="00FA6C41">
        <w:t xml:space="preserve">PSR liaises closely with Medicare (Department of Human Services), which administers Australia’s medical insurance arrangements, and with the Department of Health, which is responsible for developing and implementing policy regarding the content of the MBS. Despite the efforts of all involved in managing MBS policy and administration there are practitioners who, through ignorance or for other reasons, misuse the Medicare scheme. </w:t>
      </w:r>
      <w:r w:rsidR="004C030E">
        <w:br w:type="page"/>
      </w:r>
    </w:p>
    <w:p w:rsidR="00FA6C41" w:rsidRPr="00FA6C41" w:rsidRDefault="00FA6C41" w:rsidP="00D21D48">
      <w:pPr>
        <w:pStyle w:val="Heading3"/>
        <w:shd w:val="solid" w:color="DBE5F1" w:themeColor="accent1" w:themeTint="33" w:fill="auto"/>
      </w:pPr>
      <w:bookmarkStart w:id="113" w:name="_Toc275439485"/>
      <w:bookmarkStart w:id="114" w:name="_Toc276039581"/>
      <w:bookmarkStart w:id="115" w:name="_Toc276039944"/>
      <w:bookmarkStart w:id="116" w:name="_Toc276040186"/>
      <w:r w:rsidRPr="00FA6C41">
        <w:t>Background to the PSR Scheme</w:t>
      </w:r>
      <w:bookmarkEnd w:id="113"/>
      <w:bookmarkEnd w:id="114"/>
      <w:bookmarkEnd w:id="115"/>
      <w:bookmarkEnd w:id="116"/>
    </w:p>
    <w:p w:rsidR="00FA6C41" w:rsidRPr="00FA6C41" w:rsidRDefault="00FA6C41" w:rsidP="00D21D48">
      <w:pPr>
        <w:pStyle w:val="bodytext"/>
        <w:shd w:val="solid" w:color="DBE5F1" w:themeColor="accent1" w:themeTint="33" w:fill="auto"/>
      </w:pPr>
      <w:r w:rsidRPr="00FA6C41">
        <w:t xml:space="preserve">The regulation of health professions in Australia involves a complex mosaic of organisations. </w:t>
      </w:r>
    </w:p>
    <w:p w:rsidR="00FA6C41" w:rsidRPr="00FA6C41" w:rsidRDefault="00FA6C41" w:rsidP="00D21D48">
      <w:pPr>
        <w:pStyle w:val="bodytext"/>
        <w:shd w:val="solid" w:color="DBE5F1" w:themeColor="accent1" w:themeTint="33" w:fill="auto"/>
      </w:pPr>
      <w:r w:rsidRPr="00FA6C41">
        <w:t xml:space="preserve">Beginning in the 19th century the six Australian states and the ACT and Northern Territory established medical boards whose main task was to define requirements for registration of medical practitioners. </w:t>
      </w:r>
    </w:p>
    <w:p w:rsidR="00FA6C41" w:rsidRPr="00FA6C41" w:rsidRDefault="00FA6C41" w:rsidP="00D21D48">
      <w:pPr>
        <w:pStyle w:val="bodytext"/>
        <w:shd w:val="solid" w:color="DBE5F1" w:themeColor="accent1" w:themeTint="33" w:fill="auto"/>
      </w:pPr>
      <w:r w:rsidRPr="00FA6C41">
        <w:t xml:space="preserve">The Council of Australian Governments (COAG) agreed in 2008 to establish a single National Registration and Accreditation Scheme for all registered health practitioners. This is administered by AHPRA.  </w:t>
      </w:r>
    </w:p>
    <w:p w:rsidR="00FA6C41" w:rsidRPr="00FA6C41" w:rsidRDefault="00FA6C41" w:rsidP="00D21D48">
      <w:pPr>
        <w:pStyle w:val="bodytext"/>
        <w:shd w:val="solid" w:color="DBE5F1" w:themeColor="accent1" w:themeTint="33" w:fill="auto"/>
      </w:pPr>
      <w:r w:rsidRPr="00FA6C41">
        <w:t xml:space="preserve">The legislation governing this scheme is the Health Practitioner Regulation National Law, as in force in each state and territory. The national law is state and territory legislation, not Commonwealth legislation. </w:t>
      </w:r>
    </w:p>
    <w:p w:rsidR="00FA6C41" w:rsidRPr="00FA6C41" w:rsidRDefault="00FA6C41" w:rsidP="00D21D48">
      <w:pPr>
        <w:pStyle w:val="bodytext"/>
        <w:shd w:val="solid" w:color="DBE5F1" w:themeColor="accent1" w:themeTint="33" w:fill="auto"/>
      </w:pPr>
      <w:r w:rsidRPr="00FA6C41">
        <w:t>As well as defining educational standards to be met before a practitioner can be registered, the various health profession boards in the national scheme define registration standards covering issues such as continuing education requirements. Boards, in conjunction with state government health complaints bodies, also have disciplinary roles involving assessment of complaints, or ‘notifications’, regarding the health, conduct or performance of individual practitioners.</w:t>
      </w:r>
    </w:p>
    <w:p w:rsidR="00FA6C41" w:rsidRPr="00FA6C41" w:rsidRDefault="00FA6C41" w:rsidP="00D21D48">
      <w:pPr>
        <w:pStyle w:val="bodytext"/>
        <w:shd w:val="solid" w:color="DBE5F1" w:themeColor="accent1" w:themeTint="33" w:fill="auto"/>
      </w:pPr>
      <w:r w:rsidRPr="00FA6C41">
        <w:t>These structures and processes by which the medical and other health professions are regulated in Australia reflect a complex evolution in response to many factors, including:</w:t>
      </w:r>
    </w:p>
    <w:p w:rsidR="00FA6C41" w:rsidRPr="00FA6C41" w:rsidRDefault="00FA6C41" w:rsidP="00BF4BEB">
      <w:pPr>
        <w:pStyle w:val="ListBullet"/>
        <w:shd w:val="clear" w:color="auto" w:fill="DBE5F1" w:themeFill="accent1" w:themeFillTint="33"/>
        <w:rPr>
          <w:lang w:val="en-GB"/>
        </w:rPr>
      </w:pPr>
      <w:proofErr w:type="gramStart"/>
      <w:r w:rsidRPr="00FA6C41">
        <w:rPr>
          <w:lang w:val="en-GB"/>
        </w:rPr>
        <w:t>a</w:t>
      </w:r>
      <w:proofErr w:type="gramEnd"/>
      <w:r w:rsidRPr="00FA6C41">
        <w:rPr>
          <w:lang w:val="en-GB"/>
        </w:rPr>
        <w:t xml:space="preserve"> tendency in society to demand more open and explicit accountability of the self-regulating professions</w:t>
      </w:r>
    </w:p>
    <w:p w:rsidR="00FA6C41" w:rsidRPr="00FA6C41" w:rsidRDefault="00FA6C41" w:rsidP="00BF4BEB">
      <w:pPr>
        <w:pStyle w:val="ListBullet"/>
        <w:shd w:val="clear" w:color="auto" w:fill="DBE5F1" w:themeFill="accent1" w:themeFillTint="33"/>
        <w:rPr>
          <w:lang w:val="en-GB"/>
        </w:rPr>
      </w:pPr>
      <w:proofErr w:type="gramStart"/>
      <w:r w:rsidRPr="00FA6C41">
        <w:rPr>
          <w:lang w:val="en-GB"/>
        </w:rPr>
        <w:t>heightened</w:t>
      </w:r>
      <w:proofErr w:type="gramEnd"/>
      <w:r w:rsidRPr="00FA6C41">
        <w:rPr>
          <w:lang w:val="en-GB"/>
        </w:rPr>
        <w:t xml:space="preserve"> expectations across society regarding the standards of health care</w:t>
      </w:r>
    </w:p>
    <w:p w:rsidR="00FA6C41" w:rsidRPr="00FA6C41" w:rsidRDefault="00FA6C41" w:rsidP="00BF4BEB">
      <w:pPr>
        <w:pStyle w:val="ListBullet"/>
        <w:shd w:val="clear" w:color="auto" w:fill="DBE5F1" w:themeFill="accent1" w:themeFillTint="33"/>
        <w:rPr>
          <w:lang w:val="en-GB"/>
        </w:rPr>
      </w:pPr>
      <w:proofErr w:type="gramStart"/>
      <w:r w:rsidRPr="00FA6C41">
        <w:rPr>
          <w:lang w:val="en-GB"/>
        </w:rPr>
        <w:t>technical</w:t>
      </w:r>
      <w:proofErr w:type="gramEnd"/>
      <w:r w:rsidRPr="00FA6C41">
        <w:rPr>
          <w:lang w:val="en-GB"/>
        </w:rPr>
        <w:t xml:space="preserve"> developments in medicine leading to more and more specialisation</w:t>
      </w:r>
    </w:p>
    <w:p w:rsidR="00FA6C41" w:rsidRPr="00FA6C41" w:rsidRDefault="00FA6C41" w:rsidP="00BF4BEB">
      <w:pPr>
        <w:pStyle w:val="ListBullet"/>
        <w:shd w:val="clear" w:color="auto" w:fill="DBE5F1" w:themeFill="accent1" w:themeFillTint="33"/>
        <w:rPr>
          <w:lang w:val="en-GB"/>
        </w:rPr>
      </w:pPr>
      <w:proofErr w:type="gramStart"/>
      <w:r w:rsidRPr="00FA6C41">
        <w:rPr>
          <w:lang w:val="en-GB"/>
        </w:rPr>
        <w:t>the</w:t>
      </w:r>
      <w:proofErr w:type="gramEnd"/>
      <w:r w:rsidRPr="00FA6C41">
        <w:rPr>
          <w:lang w:val="en-GB"/>
        </w:rPr>
        <w:t xml:space="preserve"> emergence of many complex and challenging ethical and bioethical issues as new technologies are developed and as societal standards change </w:t>
      </w:r>
    </w:p>
    <w:p w:rsidR="00FA6C41" w:rsidRPr="00FA6C41" w:rsidRDefault="00FA6C41" w:rsidP="00BF4BEB">
      <w:pPr>
        <w:pStyle w:val="ListBullet"/>
        <w:shd w:val="clear" w:color="auto" w:fill="DBE5F1" w:themeFill="accent1" w:themeFillTint="33"/>
        <w:rPr>
          <w:lang w:val="en-GB"/>
        </w:rPr>
      </w:pPr>
      <w:proofErr w:type="gramStart"/>
      <w:r w:rsidRPr="00FA6C41">
        <w:rPr>
          <w:lang w:val="en-GB"/>
        </w:rPr>
        <w:t>greater</w:t>
      </w:r>
      <w:proofErr w:type="gramEnd"/>
      <w:r w:rsidRPr="00FA6C41">
        <w:rPr>
          <w:lang w:val="en-GB"/>
        </w:rPr>
        <w:t xml:space="preserve"> third-party, especially government, involvement in the provision and funding of health and medical services.</w:t>
      </w:r>
    </w:p>
    <w:p w:rsidR="00FA6C41" w:rsidRPr="00FA6C41" w:rsidRDefault="00FA6C41" w:rsidP="00D21D48">
      <w:pPr>
        <w:pStyle w:val="bodytext"/>
        <w:shd w:val="solid" w:color="DBE5F1" w:themeColor="accent1" w:themeTint="33" w:fill="auto"/>
      </w:pPr>
      <w:r w:rsidRPr="00FA6C41">
        <w:t>PSR exists largely because of this last point. The direct involvement of the Commonwealth in subsidising the provision of medical and other health services for all Australians through the compulsory, universal Medicare scheme created a need for processes to ensure taxpayers’ money is being spent appropriately.</w:t>
      </w:r>
    </w:p>
    <w:p w:rsidR="00FA6C41" w:rsidRPr="00FA6C41" w:rsidRDefault="00FA6C41" w:rsidP="00D21D48">
      <w:pPr>
        <w:pStyle w:val="bodytext"/>
        <w:shd w:val="solid" w:color="DBE5F1" w:themeColor="accent1" w:themeTint="33" w:fill="auto"/>
      </w:pPr>
      <w:r w:rsidRPr="00FA6C41">
        <w:t xml:space="preserve">The PSR Scheme was developed in response to various reports, including a 1982 federal Parliament Joint Committee of Public Accounts report and a 1992 report by the Australian National Audit Office. These reports suggested that the existing arrangements for assessing suspected overservicing and related concerns were of limited effectiveness. </w:t>
      </w:r>
    </w:p>
    <w:p w:rsidR="00FA6C41" w:rsidRPr="00FA6C41" w:rsidRDefault="00FA6C41" w:rsidP="00D21D48">
      <w:pPr>
        <w:pStyle w:val="bodytext"/>
        <w:shd w:val="solid" w:color="DBE5F1" w:themeColor="accent1" w:themeTint="33" w:fill="auto"/>
      </w:pPr>
      <w:r w:rsidRPr="00FA6C41">
        <w:t xml:space="preserve">At the heart of much debate about PSR </w:t>
      </w:r>
      <w:proofErr w:type="gramStart"/>
      <w:r w:rsidRPr="00FA6C41">
        <w:t>is</w:t>
      </w:r>
      <w:proofErr w:type="gramEnd"/>
      <w:r w:rsidRPr="00FA6C41">
        <w:t xml:space="preserve"> the tension between professional autonomy and the need for some system of oversight. The medical profession was debating these issues well before the establishment of Medicare.  </w:t>
      </w:r>
    </w:p>
    <w:p w:rsidR="00BF4BEB" w:rsidRDefault="00FA6C41" w:rsidP="00D21D48">
      <w:pPr>
        <w:pStyle w:val="bodytext"/>
        <w:shd w:val="solid" w:color="DBE5F1" w:themeColor="accent1" w:themeTint="33" w:fill="auto"/>
      </w:pPr>
      <w:r w:rsidRPr="00FA6C41">
        <w:t>For example, in 1968 there was vigorous correspondence in the Medical Journal of Australia (MJA</w:t>
      </w:r>
      <w:proofErr w:type="gramStart"/>
      <w:r w:rsidRPr="00FA6C41">
        <w:t>)  about</w:t>
      </w:r>
      <w:proofErr w:type="gramEnd"/>
      <w:r w:rsidRPr="00FA6C41">
        <w:t xml:space="preserve"> the Medical Services Committees of Inquiry (the predecessors of PSR) originally established as part of the Pensioner Medical Scheme introduced by the Commonwealth in the early 1950s. One Sydney GP proposed sanctions much more severe than those available in 2014 to PSR: </w:t>
      </w:r>
    </w:p>
    <w:p w:rsidR="00FA6C41" w:rsidRPr="00BF4BEB" w:rsidRDefault="00FA6C41" w:rsidP="00D21D48">
      <w:pPr>
        <w:pStyle w:val="bodytext"/>
        <w:shd w:val="solid" w:color="DBE5F1" w:themeColor="accent1" w:themeTint="33" w:fill="auto"/>
      </w:pPr>
      <w:r w:rsidRPr="003A7362">
        <w:t>There is a persistent rumour in the medical profession recently that certain doctors have been guilty of defrauding the Federal Government by claiming payment for making unnecessary visits to pensioners. If this has been proven against any practitioner, he should be fined and perhaps jailed. The Medical Board should then consider the matter of deregistering him</w:t>
      </w:r>
      <w:r w:rsidRPr="00FA6C41">
        <w:rPr>
          <w:rFonts w:ascii="SamoSansPro-Light" w:hAnsi="SamoSansPro-Light"/>
          <w:sz w:val="19"/>
        </w:rPr>
        <w:t xml:space="preserve">. </w:t>
      </w:r>
    </w:p>
    <w:p w:rsidR="00BF4BEB" w:rsidRDefault="00FA6C41" w:rsidP="00D21D48">
      <w:pPr>
        <w:pStyle w:val="bodytext"/>
        <w:shd w:val="solid" w:color="DBE5F1" w:themeColor="accent1" w:themeTint="33" w:fill="auto"/>
      </w:pPr>
      <w:r w:rsidRPr="00FA6C41">
        <w:t xml:space="preserve">However, another Sydney GP responded: </w:t>
      </w:r>
    </w:p>
    <w:p w:rsidR="00BF4BEB" w:rsidRPr="000228D7" w:rsidRDefault="00FA6C41" w:rsidP="00B93A07">
      <w:pPr>
        <w:pStyle w:val="ListBullet"/>
        <w:shd w:val="clear" w:color="auto" w:fill="DBE5F1" w:themeFill="accent1" w:themeFillTint="33"/>
      </w:pPr>
      <w:r w:rsidRPr="000228D7">
        <w:t xml:space="preserve">I don’t like the way the Department of Health has been handling this overvisiting business. When it </w:t>
      </w:r>
      <w:r w:rsidR="000228D7" w:rsidRPr="000228D7">
        <w:t xml:space="preserve">        </w:t>
      </w:r>
      <w:r w:rsidRPr="000228D7">
        <w:t xml:space="preserve">can make me have little tingles of doubt about myself, when it can start make me start looking over my shoulder in case Big Brother has his eye on me, there is something wrong. </w:t>
      </w:r>
    </w:p>
    <w:p w:rsidR="00BF4BEB" w:rsidRDefault="00FA6C41" w:rsidP="00D21D48">
      <w:pPr>
        <w:pStyle w:val="bodytext"/>
        <w:shd w:val="solid" w:color="DBE5F1" w:themeColor="accent1" w:themeTint="33" w:fill="auto"/>
      </w:pPr>
      <w:r w:rsidRPr="00FA6C41">
        <w:t xml:space="preserve">The General Secretary of the AMA wrote: </w:t>
      </w:r>
    </w:p>
    <w:p w:rsidR="00BF4BEB" w:rsidRDefault="00FA6C41" w:rsidP="004C030E">
      <w:pPr>
        <w:pStyle w:val="ListBullet"/>
        <w:shd w:val="solid" w:color="DBE5F1" w:themeColor="accent1" w:themeTint="33" w:fill="auto"/>
      </w:pPr>
      <w:r w:rsidRPr="00FA6C41">
        <w:t xml:space="preserve">… </w:t>
      </w:r>
      <w:proofErr w:type="gramStart"/>
      <w:r w:rsidRPr="00FA6C41">
        <w:t>those</w:t>
      </w:r>
      <w:proofErr w:type="gramEnd"/>
      <w:r w:rsidRPr="00FA6C41">
        <w:t xml:space="preserve"> doctors who consider that there should be no control on the number of services which a doctor may render at Government expense are being completely unrealistic … it is up to those who criticize the present system of controlling abuse to suggest a better method. </w:t>
      </w:r>
    </w:p>
    <w:p w:rsidR="00BF4BEB" w:rsidRDefault="00FA6C41" w:rsidP="00D21D48">
      <w:pPr>
        <w:pStyle w:val="bodytext"/>
        <w:shd w:val="solid" w:color="DBE5F1" w:themeColor="accent1" w:themeTint="33" w:fill="auto"/>
      </w:pPr>
      <w:r w:rsidRPr="00FA6C41">
        <w:t>(MJA 13 January 1968, p. 74, and 6 April 1968, p. 609)</w:t>
      </w:r>
    </w:p>
    <w:p w:rsidR="00FA6C41" w:rsidRPr="00FA6C41" w:rsidRDefault="00FA6C41" w:rsidP="004C030E">
      <w:pPr>
        <w:pStyle w:val="ListBullet"/>
        <w:shd w:val="solid" w:color="DBE5F1" w:themeColor="accent1" w:themeTint="33" w:fill="auto"/>
      </w:pPr>
      <w:r w:rsidRPr="00FA6C41">
        <w:t>Weaknesses of processes that existed before the establishment of PSR in 1994 included the limitations of the former Medical Services Committees of Inquiry. These could only examine individual services, so any repayments were typically minimal and of little deterrence value. It was also suggested that the investigative powers of the then Health Insurance Commission (equivalent to Medicare) were deficient.</w:t>
      </w:r>
    </w:p>
    <w:p w:rsidR="00FA6C41" w:rsidRPr="00FA6C41" w:rsidRDefault="00BF4BEB" w:rsidP="00BF4BEB">
      <w:pPr>
        <w:pStyle w:val="Heading1"/>
      </w:pPr>
      <w:bookmarkStart w:id="117" w:name="_Toc275439486"/>
      <w:bookmarkStart w:id="118" w:name="_Toc276040187"/>
      <w:r>
        <w:t xml:space="preserve">3. </w:t>
      </w:r>
      <w:r w:rsidR="00FA6C41" w:rsidRPr="00FA6C41">
        <w:t>Management and accountability</w:t>
      </w:r>
      <w:bookmarkEnd w:id="117"/>
      <w:bookmarkEnd w:id="118"/>
    </w:p>
    <w:p w:rsidR="00FA6C41" w:rsidRPr="00FA6C41" w:rsidRDefault="00FA6C41" w:rsidP="00CE22CE">
      <w:pPr>
        <w:pStyle w:val="Heading2"/>
      </w:pPr>
      <w:bookmarkStart w:id="119" w:name="_Toc275439487"/>
      <w:bookmarkStart w:id="120" w:name="_Toc276040188"/>
      <w:r w:rsidRPr="00FA6C41">
        <w:t>Structure and organisation</w:t>
      </w:r>
      <w:bookmarkEnd w:id="119"/>
      <w:bookmarkEnd w:id="120"/>
    </w:p>
    <w:p w:rsidR="00FA6C41" w:rsidRPr="00FA6C41" w:rsidRDefault="00FA6C41" w:rsidP="00D21D48">
      <w:pPr>
        <w:pStyle w:val="bodytext"/>
      </w:pPr>
      <w:r w:rsidRPr="00FA6C41">
        <w:t xml:space="preserve">The Director of PSR is an independent statutory officer appointed by the Minister for Health under section 83 of the Act. PSR is an agency for the purposes of the </w:t>
      </w:r>
      <w:r w:rsidRPr="00CE22CE">
        <w:rPr>
          <w:i/>
        </w:rPr>
        <w:t>Financial Management and Accountability Act 1997</w:t>
      </w:r>
      <w:r w:rsidRPr="00FA6C41">
        <w:t xml:space="preserve"> (FMA Act), and the Director is prescribed as the agency’s chief executive. </w:t>
      </w:r>
    </w:p>
    <w:p w:rsidR="00FA6C41" w:rsidRPr="00FA6C41" w:rsidRDefault="00FA6C41" w:rsidP="00D21D48">
      <w:pPr>
        <w:pStyle w:val="bodytext"/>
      </w:pPr>
      <w:r w:rsidRPr="00FA6C41">
        <w:t xml:space="preserve">During 2013–14, Dr Bill Coote continued his role of Director PSR. </w:t>
      </w:r>
      <w:proofErr w:type="gramStart"/>
      <w:r w:rsidRPr="00FA6C41">
        <w:t>Dr Coote was first appointed by the Minister for Health</w:t>
      </w:r>
      <w:proofErr w:type="gramEnd"/>
      <w:r w:rsidRPr="00FA6C41">
        <w:t xml:space="preserve"> in an acting capacity, with agreement from the AMA, on 14 August 2011. </w:t>
      </w:r>
      <w:proofErr w:type="gramStart"/>
      <w:r w:rsidRPr="00FA6C41">
        <w:t>He was substantively appointed by the Minister on a full-time basis</w:t>
      </w:r>
      <w:proofErr w:type="gramEnd"/>
      <w:r w:rsidRPr="00FA6C41">
        <w:t xml:space="preserve"> on 14 November 2011 for a three-year period.   </w:t>
      </w:r>
    </w:p>
    <w:p w:rsidR="00FA6C41" w:rsidRPr="00FA6C41" w:rsidRDefault="00FA6C41" w:rsidP="004C030E">
      <w:pPr>
        <w:pStyle w:val="Heading3"/>
      </w:pPr>
      <w:bookmarkStart w:id="121" w:name="_Toc275439488"/>
      <w:bookmarkStart w:id="122" w:name="_Toc276039584"/>
      <w:bookmarkStart w:id="123" w:name="_Toc276039947"/>
      <w:bookmarkStart w:id="124" w:name="_Toc276040189"/>
      <w:r w:rsidRPr="00FA6C41">
        <w:t>Corporate governance and business planning</w:t>
      </w:r>
      <w:bookmarkEnd w:id="121"/>
      <w:bookmarkEnd w:id="122"/>
      <w:bookmarkEnd w:id="123"/>
      <w:bookmarkEnd w:id="124"/>
    </w:p>
    <w:p w:rsidR="00FA6C41" w:rsidRPr="00FA6C41" w:rsidRDefault="00FA6C41" w:rsidP="00D21D48">
      <w:pPr>
        <w:pStyle w:val="bodytext"/>
      </w:pPr>
      <w:r w:rsidRPr="00FA6C41">
        <w:t xml:space="preserve">Overall accountability for PSR rests with the Director, who has primary authority and legal responsibility for managing the agency. In the 2013–14 financial year PSR continued to consolidate the review of its business plan and organisational structure that began in 2012–13.  </w:t>
      </w:r>
    </w:p>
    <w:p w:rsidR="00FA6C41" w:rsidRPr="00FA6C41" w:rsidRDefault="00FA6C41" w:rsidP="00D21D48">
      <w:pPr>
        <w:pStyle w:val="bodytext"/>
      </w:pPr>
      <w:r w:rsidRPr="00FA6C41">
        <w:t>To assist with this process of consolidation PSR engaged external consultants Noetic to undertake an evaluation of the implementation of the agency’s business planning and organisational restructure. This process of evaluation involved significant staff consultation including whole-of-agency workshops and focus groups with individual business units within the agency. Staff also provided feedback via a climate survey. The overall staff response was very positive and reflected a significant improvement in staff satisfaction.</w:t>
      </w:r>
    </w:p>
    <w:p w:rsidR="00FA6C41" w:rsidRPr="00FA6C41" w:rsidRDefault="00FA6C41" w:rsidP="00D21D48">
      <w:pPr>
        <w:pStyle w:val="bodytext"/>
      </w:pPr>
      <w:r w:rsidRPr="00FA6C41">
        <w:t xml:space="preserve">Noetic also consulted with PSR stakeholders including the Department of Health, the Department of Human Services, the AMA and a number of legal advisers assisting practitioners under review. The aim of this evaluation process was to ensure that PSR continued to monitor its performance against the agency business plan with its core function of delivering the PSR Scheme. Again responses from stakeholders were positive and supported the initiatives undertaken by PSR to improve its performance.  </w:t>
      </w:r>
    </w:p>
    <w:p w:rsidR="00FA6C41" w:rsidRPr="00FA6C41" w:rsidRDefault="00FA6C41" w:rsidP="00D21D48">
      <w:pPr>
        <w:pStyle w:val="bodytext"/>
      </w:pPr>
      <w:r w:rsidRPr="00FA6C41">
        <w:t>The PSR Business Plan 2012–2014 identifies five strategic objectives:</w:t>
      </w:r>
    </w:p>
    <w:p w:rsidR="00FA6C41" w:rsidRPr="00FA6C41" w:rsidRDefault="00FA6C41" w:rsidP="00FA6C41">
      <w:pPr>
        <w:pStyle w:val="ListBullet"/>
        <w:rPr>
          <w:lang w:val="en-GB"/>
        </w:rPr>
      </w:pPr>
      <w:r w:rsidRPr="00FA6C41">
        <w:rPr>
          <w:lang w:val="en-GB"/>
        </w:rPr>
        <w:t xml:space="preserve"> Preserve the integrity of the Medicare Benefits Scheme through peer review</w:t>
      </w:r>
    </w:p>
    <w:p w:rsidR="00FA6C41" w:rsidRPr="00FA6C41" w:rsidRDefault="00FA6C41" w:rsidP="00FA6C41">
      <w:pPr>
        <w:pStyle w:val="ListBullet"/>
        <w:rPr>
          <w:lang w:val="en-GB"/>
        </w:rPr>
      </w:pPr>
      <w:r w:rsidRPr="00FA6C41">
        <w:rPr>
          <w:lang w:val="en-GB"/>
        </w:rPr>
        <w:t>Enhance and improve the PSR case process</w:t>
      </w:r>
    </w:p>
    <w:p w:rsidR="00FA6C41" w:rsidRPr="00FA6C41" w:rsidRDefault="00FA6C41" w:rsidP="00FA6C41">
      <w:pPr>
        <w:pStyle w:val="ListBullet"/>
        <w:rPr>
          <w:lang w:val="en-GB"/>
        </w:rPr>
      </w:pPr>
      <w:r w:rsidRPr="00FA6C41">
        <w:rPr>
          <w:lang w:val="en-GB"/>
        </w:rPr>
        <w:t xml:space="preserve">Support committed, knowledgeable, well-trained staff capable of delivering PSR’s objectives </w:t>
      </w:r>
    </w:p>
    <w:p w:rsidR="00FA6C41" w:rsidRPr="00FA6C41" w:rsidRDefault="00FA6C41" w:rsidP="00FA6C41">
      <w:pPr>
        <w:pStyle w:val="ListBullet"/>
        <w:rPr>
          <w:lang w:val="en-GB"/>
        </w:rPr>
      </w:pPr>
      <w:r w:rsidRPr="00FA6C41">
        <w:rPr>
          <w:lang w:val="en-GB"/>
        </w:rPr>
        <w:t>Be recognised by stakeholders as an effective and efficient organisation that supports the PSR Scheme</w:t>
      </w:r>
    </w:p>
    <w:p w:rsidR="00FA6C41" w:rsidRPr="00CE22CE" w:rsidRDefault="00FA6C41" w:rsidP="00FA6C41">
      <w:pPr>
        <w:pStyle w:val="ListBullet"/>
        <w:rPr>
          <w:lang w:val="en-GB"/>
        </w:rPr>
      </w:pPr>
      <w:r w:rsidRPr="00FA6C41">
        <w:rPr>
          <w:lang w:val="en-GB"/>
        </w:rPr>
        <w:t>Maintain effective and robust corporate governance that supports the delivery of the PSR Scheme within a changing environment.</w:t>
      </w:r>
    </w:p>
    <w:p w:rsidR="00FA6C41" w:rsidRPr="00FA6C41" w:rsidRDefault="00FA6C41" w:rsidP="00D21D48">
      <w:pPr>
        <w:pStyle w:val="bodytext"/>
      </w:pPr>
      <w:r w:rsidRPr="00FA6C41">
        <w:t>The PSR Business Plan is publicly</w:t>
      </w:r>
      <w:r w:rsidR="00CE22CE">
        <w:t xml:space="preserve"> available on the PSR website at </w:t>
      </w:r>
      <w:r w:rsidRPr="00CE22CE">
        <w:rPr>
          <w:u w:val="single"/>
        </w:rPr>
        <w:t>www.psr.gov.au</w:t>
      </w:r>
      <w:r w:rsidRPr="00FA6C41">
        <w:t xml:space="preserve">. During 2014–15 PSR will review this Business Plan in preparation for the development of a new Corporate Plan.  </w:t>
      </w:r>
    </w:p>
    <w:p w:rsidR="00FA6C41" w:rsidRPr="00FA6C41" w:rsidRDefault="00FA6C41" w:rsidP="00D21D48">
      <w:pPr>
        <w:pStyle w:val="bodytext"/>
      </w:pPr>
      <w:r w:rsidRPr="00FA6C41">
        <w:t>The agency’s new structure was implemented from 1 July 2013 (Figure 1). It provides for:</w:t>
      </w:r>
    </w:p>
    <w:p w:rsidR="00FA6C41" w:rsidRPr="00FA6C41" w:rsidRDefault="00FA6C41" w:rsidP="00FA6C41">
      <w:pPr>
        <w:pStyle w:val="ListBullet"/>
        <w:rPr>
          <w:lang w:val="en-GB"/>
        </w:rPr>
      </w:pPr>
      <w:proofErr w:type="gramStart"/>
      <w:r w:rsidRPr="00FA6C41">
        <w:rPr>
          <w:lang w:val="en-GB"/>
        </w:rPr>
        <w:t>a</w:t>
      </w:r>
      <w:proofErr w:type="gramEnd"/>
      <w:r w:rsidRPr="00FA6C41">
        <w:rPr>
          <w:lang w:val="en-GB"/>
        </w:rPr>
        <w:t xml:space="preserve"> Case Management Unit responsible for managing the increased number of referrals from the Department of Human Services and a resumption of committee hearings</w:t>
      </w:r>
    </w:p>
    <w:p w:rsidR="00FA6C41" w:rsidRPr="00FA6C41" w:rsidRDefault="00FA6C41" w:rsidP="00FA6C41">
      <w:pPr>
        <w:pStyle w:val="ListBullet"/>
        <w:rPr>
          <w:lang w:val="en-GB"/>
        </w:rPr>
      </w:pPr>
      <w:proofErr w:type="gramStart"/>
      <w:r w:rsidRPr="00FA6C41">
        <w:rPr>
          <w:lang w:val="en-GB"/>
        </w:rPr>
        <w:t>an</w:t>
      </w:r>
      <w:proofErr w:type="gramEnd"/>
      <w:r w:rsidRPr="00FA6C41">
        <w:rPr>
          <w:lang w:val="en-GB"/>
        </w:rPr>
        <w:t xml:space="preserve"> integrated Corporate Support Unit reporting to the Executive Officer and responsible for human resources, security and property management, finance, information technology and information management</w:t>
      </w:r>
    </w:p>
    <w:p w:rsidR="00FA6C41" w:rsidRPr="00FA6C41" w:rsidRDefault="00FA6C41" w:rsidP="00FA6C41">
      <w:pPr>
        <w:pStyle w:val="ListBullet"/>
        <w:rPr>
          <w:lang w:val="en-GB"/>
        </w:rPr>
      </w:pPr>
      <w:proofErr w:type="gramStart"/>
      <w:r w:rsidRPr="00FA6C41">
        <w:rPr>
          <w:lang w:val="en-GB"/>
        </w:rPr>
        <w:t>an</w:t>
      </w:r>
      <w:proofErr w:type="gramEnd"/>
      <w:r w:rsidRPr="00FA6C41">
        <w:rPr>
          <w:lang w:val="en-GB"/>
        </w:rPr>
        <w:t xml:space="preserve"> Executive Support Officer responsible for supporting the Director and the Executive Officer and for the coordination of communications, media and parliamentary functions</w:t>
      </w:r>
    </w:p>
    <w:p w:rsidR="00FA6C41" w:rsidRPr="00FA6C41" w:rsidRDefault="00FA6C41" w:rsidP="00FA6C41">
      <w:pPr>
        <w:pStyle w:val="ListBullet"/>
        <w:rPr>
          <w:lang w:val="en-GB"/>
        </w:rPr>
      </w:pPr>
      <w:proofErr w:type="gramStart"/>
      <w:r w:rsidRPr="00FA6C41">
        <w:rPr>
          <w:lang w:val="en-GB"/>
        </w:rPr>
        <w:t>the</w:t>
      </w:r>
      <w:proofErr w:type="gramEnd"/>
      <w:r w:rsidRPr="00FA6C41">
        <w:rPr>
          <w:lang w:val="en-GB"/>
        </w:rPr>
        <w:t xml:space="preserve"> role of General Counsel providing internal legal advice.</w:t>
      </w:r>
    </w:p>
    <w:p w:rsidR="00FA6C41" w:rsidRDefault="00AE7496" w:rsidP="00CE22CE">
      <w:pPr>
        <w:pStyle w:val="tabletitle"/>
      </w:pPr>
      <w:r>
        <w:br w:type="page"/>
      </w:r>
      <w:r w:rsidR="00FA6C41" w:rsidRPr="00FA6C41">
        <w:t>Figure 1: PSR organisation chart 2013–14</w:t>
      </w:r>
    </w:p>
    <w:p w:rsidR="00B93A07" w:rsidRPr="00FA6C41" w:rsidRDefault="00B93A07" w:rsidP="00CE22CE">
      <w:pPr>
        <w:pStyle w:val="tabletitle"/>
        <w:rPr>
          <w:rFonts w:ascii="ArialNarrow-Bold" w:hAnsi="ArialNarrow-Bold" w:cs="ArialNarrow-Bold"/>
          <w:color w:val="000000"/>
          <w:lang w:val="en-AU"/>
        </w:rPr>
      </w:pPr>
      <w:r>
        <w:rPr>
          <w:rFonts w:ascii="ArialNarrow-Bold" w:hAnsi="ArialNarrow-Bold" w:cs="ArialNarrow-Bold"/>
          <w:noProof/>
          <w:color w:val="000000"/>
          <w:lang w:val="en-US"/>
        </w:rPr>
        <w:drawing>
          <wp:inline distT="0" distB="0" distL="0" distR="0">
            <wp:extent cx="4731385" cy="26263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1385" cy="2626360"/>
                    </a:xfrm>
                    <a:prstGeom prst="rect">
                      <a:avLst/>
                    </a:prstGeom>
                    <a:noFill/>
                    <a:ln>
                      <a:noFill/>
                    </a:ln>
                  </pic:spPr>
                </pic:pic>
              </a:graphicData>
            </a:graphic>
          </wp:inline>
        </w:drawing>
      </w:r>
    </w:p>
    <w:p w:rsidR="00FA6C41" w:rsidRPr="00FA6C41" w:rsidRDefault="00FA6C41" w:rsidP="00FA6C41">
      <w:pPr>
        <w:widowControl w:val="0"/>
        <w:suppressAutoHyphens/>
        <w:autoSpaceDE w:val="0"/>
        <w:autoSpaceDN w:val="0"/>
        <w:adjustRightInd w:val="0"/>
        <w:spacing w:before="57" w:after="57" w:line="260" w:lineRule="atLeast"/>
        <w:textAlignment w:val="center"/>
        <w:rPr>
          <w:rFonts w:ascii="ArialNarrow-Bold" w:hAnsi="ArialNarrow-Bold" w:cs="ArialNarrow-Bold"/>
          <w:b/>
          <w:bCs/>
          <w:color w:val="000000"/>
          <w:lang w:val="en-AU"/>
        </w:rPr>
      </w:pPr>
    </w:p>
    <w:p w:rsidR="00FA6C41" w:rsidRPr="00FA6C41" w:rsidRDefault="00FA6C41" w:rsidP="00CE22CE">
      <w:pPr>
        <w:pStyle w:val="Heading3"/>
        <w:rPr>
          <w:lang w:val="en-GB"/>
        </w:rPr>
      </w:pPr>
      <w:bookmarkStart w:id="125" w:name="_Toc275439489"/>
      <w:bookmarkStart w:id="126" w:name="_Toc276039585"/>
      <w:bookmarkStart w:id="127" w:name="_Toc276039948"/>
      <w:bookmarkStart w:id="128" w:name="_Toc276040190"/>
      <w:r w:rsidRPr="00FA6C41">
        <w:rPr>
          <w:lang w:val="en-GB"/>
        </w:rPr>
        <w:t>Portfolio shared services</w:t>
      </w:r>
      <w:bookmarkEnd w:id="125"/>
      <w:bookmarkEnd w:id="126"/>
      <w:bookmarkEnd w:id="127"/>
      <w:bookmarkEnd w:id="128"/>
    </w:p>
    <w:p w:rsidR="00FA6C41" w:rsidRPr="00FA6C41" w:rsidRDefault="00FA6C41" w:rsidP="00D21D48">
      <w:pPr>
        <w:pStyle w:val="bodytext"/>
      </w:pPr>
      <w:r w:rsidRPr="00FA6C41">
        <w:t xml:space="preserve">During 2013–14 PSR continued to progress the negotiations commenced in 2012–13 with the Department of Health in relation to accessing a range of corporate support services under </w:t>
      </w:r>
      <w:r w:rsidRPr="00FA6C41">
        <w:br/>
        <w:t xml:space="preserve">the portfolio shared services arrangements offered by the Department. As a small agency it is not realistic or financially viable for PSR to employ the number or range of staff required </w:t>
      </w:r>
      <w:proofErr w:type="gramStart"/>
      <w:r w:rsidRPr="00FA6C41">
        <w:t>to provide</w:t>
      </w:r>
      <w:proofErr w:type="gramEnd"/>
      <w:r w:rsidRPr="00FA6C41">
        <w:t xml:space="preserve"> all of the specialist services that the agency may need from time to time. Being able to access specialist advice and services from the Department under the portfolio shared services arrangements assists PSR to manage a range of infrastructure support functions </w:t>
      </w:r>
      <w:r w:rsidRPr="00FA6C41">
        <w:br/>
        <w:t xml:space="preserve">cost-effectively. PSR will continue to make the transition to shared services arrangements during the 2014–15 financial </w:t>
      </w:r>
      <w:proofErr w:type="gramStart"/>
      <w:r w:rsidRPr="00FA6C41">
        <w:t>year</w:t>
      </w:r>
      <w:proofErr w:type="gramEnd"/>
      <w:r w:rsidRPr="00FA6C41">
        <w:t>.</w:t>
      </w:r>
    </w:p>
    <w:p w:rsidR="00FA6C41" w:rsidRPr="00FA6C41" w:rsidRDefault="00FA6C41" w:rsidP="00CE22CE">
      <w:pPr>
        <w:pStyle w:val="Heading3"/>
        <w:rPr>
          <w:lang w:val="en-GB"/>
        </w:rPr>
      </w:pPr>
      <w:bookmarkStart w:id="129" w:name="_Toc275439490"/>
      <w:bookmarkStart w:id="130" w:name="_Toc276039586"/>
      <w:bookmarkStart w:id="131" w:name="_Toc276039949"/>
      <w:bookmarkStart w:id="132" w:name="_Toc276040191"/>
      <w:r w:rsidRPr="00FA6C41">
        <w:rPr>
          <w:lang w:val="en-GB"/>
        </w:rPr>
        <w:t>Executive Management Team</w:t>
      </w:r>
      <w:bookmarkEnd w:id="129"/>
      <w:bookmarkEnd w:id="130"/>
      <w:bookmarkEnd w:id="131"/>
      <w:bookmarkEnd w:id="132"/>
    </w:p>
    <w:p w:rsidR="00FA6C41" w:rsidRPr="00FA6C41" w:rsidRDefault="00FA6C41" w:rsidP="00D21D48">
      <w:pPr>
        <w:pStyle w:val="bodytext"/>
      </w:pPr>
      <w:r w:rsidRPr="00FA6C41">
        <w:t>The PSR Executive Management Team is made up of the Director, the Executive Officer, the General Counsel, the manager of the Case Management Unit and the Chief Finance Officer. The team has a regular meeting twice a month and meets as required at other times.</w:t>
      </w:r>
    </w:p>
    <w:p w:rsidR="00FA6C41" w:rsidRPr="00FA6C41" w:rsidRDefault="00FA6C41" w:rsidP="00D21D48">
      <w:pPr>
        <w:pStyle w:val="bodytext"/>
      </w:pPr>
      <w:r w:rsidRPr="00FA6C41">
        <w:t xml:space="preserve">Executive Management Team meetings include as standing agenda items reports from the Director, the Executive Officer and the Chief Finance Officer; reports on risk management, internal audit, procurement and contracting, human resources and workplace health and safety, including leave liability; and a report from the Information and Communications Technology (ICT) and Information Management Project Governance Committee. </w:t>
      </w:r>
    </w:p>
    <w:p w:rsidR="00FA6C41" w:rsidRPr="00FA6C41" w:rsidRDefault="00FA6C41" w:rsidP="00D21D48">
      <w:pPr>
        <w:pStyle w:val="bodytext"/>
      </w:pPr>
      <w:r w:rsidRPr="00FA6C41">
        <w:t>The Executive Management Team, in providing leadership for the agency, promotes the core principles of good public sector governance, including accountability, transparency, integrity, efficiency and risk management.</w:t>
      </w:r>
    </w:p>
    <w:p w:rsidR="00FA6C41" w:rsidRPr="00FA6C41" w:rsidRDefault="00FA6C41" w:rsidP="00D21D48">
      <w:pPr>
        <w:pStyle w:val="bodytext"/>
      </w:pPr>
      <w:r w:rsidRPr="00FA6C41">
        <w:t xml:space="preserve">As PSR is a small agency, the Executive Management Team undertakes a range of </w:t>
      </w:r>
      <w:proofErr w:type="gramStart"/>
      <w:r w:rsidRPr="00FA6C41">
        <w:t>roles which</w:t>
      </w:r>
      <w:proofErr w:type="gramEnd"/>
      <w:r w:rsidRPr="00FA6C41">
        <w:t xml:space="preserve"> might be performed by specialist committees in a larger organisation. </w:t>
      </w:r>
    </w:p>
    <w:p w:rsidR="00FA6C41" w:rsidRPr="00FA6C41" w:rsidRDefault="00FA6C41" w:rsidP="00D21D48">
      <w:pPr>
        <w:pStyle w:val="bodytext"/>
      </w:pPr>
      <w:r w:rsidRPr="00FA6C41">
        <w:t xml:space="preserve">The Executive Management Team is responsible for advising the Director on planning, budgeting, financial management, performance monitoring and corporate governance, including human resources and workplace health and safety. </w:t>
      </w:r>
    </w:p>
    <w:p w:rsidR="00FA6C41" w:rsidRPr="00FA6C41" w:rsidRDefault="00FA6C41" w:rsidP="00CE22CE">
      <w:pPr>
        <w:pStyle w:val="Heading3"/>
        <w:rPr>
          <w:lang w:val="en-GB"/>
        </w:rPr>
      </w:pPr>
      <w:bookmarkStart w:id="133" w:name="_Toc275439491"/>
      <w:bookmarkStart w:id="134" w:name="_Toc276039587"/>
      <w:bookmarkStart w:id="135" w:name="_Toc276039950"/>
      <w:bookmarkStart w:id="136" w:name="_Toc276040192"/>
      <w:r w:rsidRPr="00FA6C41">
        <w:rPr>
          <w:lang w:val="en-GB"/>
        </w:rPr>
        <w:t>Identifying and managing risk</w:t>
      </w:r>
      <w:bookmarkEnd w:id="133"/>
      <w:bookmarkEnd w:id="134"/>
      <w:bookmarkEnd w:id="135"/>
      <w:bookmarkEnd w:id="136"/>
    </w:p>
    <w:p w:rsidR="00FA6C41" w:rsidRPr="00FA6C41" w:rsidRDefault="00FA6C41" w:rsidP="00D21D48">
      <w:pPr>
        <w:pStyle w:val="bodytext"/>
      </w:pPr>
      <w:r w:rsidRPr="00FA6C41">
        <w:t xml:space="preserve">During the 2013–14 financial </w:t>
      </w:r>
      <w:proofErr w:type="gramStart"/>
      <w:r w:rsidRPr="00FA6C41">
        <w:t>year</w:t>
      </w:r>
      <w:proofErr w:type="gramEnd"/>
      <w:r w:rsidRPr="00FA6C41">
        <w:t xml:space="preserve"> PSR worked with consultants KPMG to conduct a risk assessment of its activities covering both strategic and operational risks.</w:t>
      </w:r>
    </w:p>
    <w:p w:rsidR="00FA6C41" w:rsidRPr="00FA6C41" w:rsidRDefault="00FA6C41" w:rsidP="00D21D48">
      <w:pPr>
        <w:pStyle w:val="bodytext"/>
      </w:pPr>
      <w:r w:rsidRPr="00FA6C41">
        <w:t>The PSR Risk Management Plan summarises the strategic risk context and operational risk assessment for the agency. The plan also outlines key mitigation strategies to be implemented and the roles and responsibilities for monitoring and reviewing risks.</w:t>
      </w:r>
    </w:p>
    <w:p w:rsidR="00FA6C41" w:rsidRPr="00CE22CE" w:rsidRDefault="00FA6C41" w:rsidP="00D21D48">
      <w:pPr>
        <w:pStyle w:val="bodytext"/>
      </w:pPr>
      <w:r w:rsidRPr="00FA6C41">
        <w:t xml:space="preserve">PSR has invested significantly in the development of a robust risk management framework and risk assessment. This investment has continued with the review of the Risk Management Plan.  </w:t>
      </w:r>
    </w:p>
    <w:p w:rsidR="00FA6C41" w:rsidRPr="00FA6C41" w:rsidRDefault="00FA6C41" w:rsidP="00D21D48">
      <w:pPr>
        <w:pStyle w:val="bodytext"/>
      </w:pPr>
      <w:r w:rsidRPr="00FA6C41">
        <w:t>In addition KPMG worked with PSR to develop a Risk Management Improvement Report. The purpose of this report is to identify and prioritise further opportunities for improvement, taking into account both the maturity of the agency’s risk management practices and its capacity for developing and implementing further change.</w:t>
      </w:r>
    </w:p>
    <w:p w:rsidR="00FA6C41" w:rsidRPr="00FA6C41" w:rsidRDefault="00FA6C41" w:rsidP="00D21D48">
      <w:pPr>
        <w:pStyle w:val="bodytext"/>
      </w:pPr>
      <w:r w:rsidRPr="00FA6C41">
        <w:t>The maturity assessment was undertaken by KPMG at a high level, drawing on its risk management knowledge and experience in the private and Australian Government sectors, and is based on what would reasonably be expected of an organisation of PSR’s relative size, nature and complexity.</w:t>
      </w:r>
    </w:p>
    <w:p w:rsidR="00FA6C41" w:rsidRPr="00FA6C41" w:rsidRDefault="00FA6C41" w:rsidP="00D21D48">
      <w:pPr>
        <w:pStyle w:val="bodytext"/>
      </w:pPr>
      <w:r w:rsidRPr="00FA6C41">
        <w:t>The findings from this review have provided input to assessing future improvement initiatives as well as an indicative ‘roadmap’ to support the development of a detailed Risk Management Improvement Plan.</w:t>
      </w:r>
    </w:p>
    <w:p w:rsidR="00FA6C41" w:rsidRPr="00FA6C41" w:rsidRDefault="00FA6C41" w:rsidP="00D21D48">
      <w:pPr>
        <w:pStyle w:val="bodytext"/>
      </w:pPr>
      <w:r w:rsidRPr="00FA6C41">
        <w:t xml:space="preserve">The improvement priorities identified include: </w:t>
      </w:r>
    </w:p>
    <w:p w:rsidR="00FA6C41" w:rsidRPr="00FA6C41" w:rsidRDefault="00FA6C41" w:rsidP="004C030E">
      <w:pPr>
        <w:pStyle w:val="ListBullet"/>
        <w:rPr>
          <w:lang w:val="en-GB"/>
        </w:rPr>
      </w:pPr>
      <w:proofErr w:type="gramStart"/>
      <w:r w:rsidRPr="00FA6C41">
        <w:rPr>
          <w:lang w:val="en-GB"/>
        </w:rPr>
        <w:t>reviewing</w:t>
      </w:r>
      <w:proofErr w:type="gramEnd"/>
      <w:r w:rsidRPr="00FA6C41">
        <w:rPr>
          <w:lang w:val="en-GB"/>
        </w:rPr>
        <w:t xml:space="preserve"> policy documents</w:t>
      </w:r>
    </w:p>
    <w:p w:rsidR="00FA6C41" w:rsidRPr="00FA6C41" w:rsidRDefault="00FA6C41" w:rsidP="004C030E">
      <w:pPr>
        <w:pStyle w:val="ListBullet"/>
        <w:rPr>
          <w:lang w:val="en-GB"/>
        </w:rPr>
      </w:pPr>
      <w:proofErr w:type="gramStart"/>
      <w:r w:rsidRPr="00FA6C41">
        <w:rPr>
          <w:lang w:val="en-GB"/>
        </w:rPr>
        <w:t>streamlining</w:t>
      </w:r>
      <w:proofErr w:type="gramEnd"/>
      <w:r w:rsidRPr="00FA6C41">
        <w:rPr>
          <w:lang w:val="en-GB"/>
        </w:rPr>
        <w:t xml:space="preserve"> risk monitoring and reporting</w:t>
      </w:r>
    </w:p>
    <w:p w:rsidR="00FA6C41" w:rsidRPr="00FA6C41" w:rsidRDefault="00FA6C41" w:rsidP="004C030E">
      <w:pPr>
        <w:pStyle w:val="ListBullet"/>
        <w:rPr>
          <w:lang w:val="en-GB"/>
        </w:rPr>
      </w:pPr>
      <w:proofErr w:type="gramStart"/>
      <w:r w:rsidRPr="00FA6C41">
        <w:rPr>
          <w:lang w:val="en-GB"/>
        </w:rPr>
        <w:t>more</w:t>
      </w:r>
      <w:proofErr w:type="gramEnd"/>
      <w:r w:rsidRPr="00FA6C41">
        <w:rPr>
          <w:lang w:val="en-GB"/>
        </w:rPr>
        <w:t xml:space="preserve"> effectively linking risk management and business planning</w:t>
      </w:r>
    </w:p>
    <w:p w:rsidR="00FA6C41" w:rsidRPr="00FA6C41" w:rsidRDefault="00FA6C41" w:rsidP="004C030E">
      <w:pPr>
        <w:pStyle w:val="ListBullet"/>
        <w:rPr>
          <w:lang w:val="en-GB"/>
        </w:rPr>
      </w:pPr>
      <w:proofErr w:type="gramStart"/>
      <w:r w:rsidRPr="00FA6C41">
        <w:rPr>
          <w:lang w:val="en-GB"/>
        </w:rPr>
        <w:t>ensuring</w:t>
      </w:r>
      <w:proofErr w:type="gramEnd"/>
      <w:r w:rsidRPr="00FA6C41">
        <w:rPr>
          <w:lang w:val="en-GB"/>
        </w:rPr>
        <w:t xml:space="preserve"> staff engagement.</w:t>
      </w:r>
    </w:p>
    <w:p w:rsidR="00FA6C41" w:rsidRPr="00FA6C41" w:rsidRDefault="00FA6C41" w:rsidP="00D21D48">
      <w:pPr>
        <w:pStyle w:val="bodytext"/>
      </w:pPr>
      <w:r w:rsidRPr="00FA6C41">
        <w:t xml:space="preserve">The risk assessment was also used to prepare the PSR Internal Audit Plan. The Internal Audit Plan includes provision for additional audits should circumstances change during the year. The preparation of the risk assessment is based on a methodology that recognises inherent risk and control effectiveness.  </w:t>
      </w:r>
    </w:p>
    <w:p w:rsidR="00FA6C41" w:rsidRPr="00FA6C41" w:rsidRDefault="00FA6C41" w:rsidP="00D21D48">
      <w:pPr>
        <w:pStyle w:val="bodytext"/>
      </w:pPr>
      <w:r w:rsidRPr="00FA6C41">
        <w:t xml:space="preserve">PSR reports on the Internal Audit Plan and provides regular updates on the status of audit recommendations to the PSR Audit Committee. </w:t>
      </w:r>
    </w:p>
    <w:p w:rsidR="00FA6C41" w:rsidRPr="00FA6C41" w:rsidRDefault="00FA6C41" w:rsidP="00D21D48">
      <w:pPr>
        <w:pStyle w:val="bodytext"/>
      </w:pPr>
      <w:r w:rsidRPr="00FA6C41">
        <w:t>While risk management and internal controls are overseen by the Audit Committee, primary responsibility for managing risk and internal controls rests with line managers, who are required to ensure that risks are identified and managed within their units.</w:t>
      </w:r>
    </w:p>
    <w:p w:rsidR="00FA6C41" w:rsidRPr="00FA6C41" w:rsidRDefault="00FA6C41" w:rsidP="004C030E">
      <w:pPr>
        <w:pStyle w:val="Heading3"/>
        <w:rPr>
          <w:lang w:val="en-GB"/>
        </w:rPr>
      </w:pPr>
      <w:bookmarkStart w:id="137" w:name="_Toc276039951"/>
      <w:bookmarkStart w:id="138" w:name="_Toc276040193"/>
      <w:r w:rsidRPr="00FA6C41">
        <w:rPr>
          <w:lang w:val="en-GB"/>
        </w:rPr>
        <w:t>Fraud control</w:t>
      </w:r>
      <w:bookmarkEnd w:id="137"/>
      <w:bookmarkEnd w:id="138"/>
    </w:p>
    <w:p w:rsidR="00FA6C41" w:rsidRPr="00CE22CE" w:rsidRDefault="00FA6C41" w:rsidP="00D21D48">
      <w:pPr>
        <w:pStyle w:val="bodytext"/>
        <w:rPr>
          <w:i/>
        </w:rPr>
      </w:pPr>
      <w:r w:rsidRPr="00FA6C41">
        <w:t xml:space="preserve">The PSR Fraud Control Plan was developed to ensure that PSR has effective systems and processes in place to manage its fraud risks. The plan complies with the Commonwealth Fraud Control Guidelines 2011 and is consistent with PSR’s Risk Management Plan and Chief Executive Instructions. The Fraud Control Plan will be reviewed in the second half of 2014 and will incorporate provisions relevant to the new </w:t>
      </w:r>
      <w:r w:rsidRPr="00CE22CE">
        <w:rPr>
          <w:i/>
        </w:rPr>
        <w:t>Public Governance, Performance and Accountability Act 2013.</w:t>
      </w:r>
    </w:p>
    <w:p w:rsidR="00FA6C41" w:rsidRPr="00FA6C41" w:rsidRDefault="00FA6C41" w:rsidP="00D21D48">
      <w:pPr>
        <w:pStyle w:val="bodytext"/>
      </w:pPr>
      <w:r w:rsidRPr="00FA6C41">
        <w:t xml:space="preserve">Fraud control is a standing agenda item for both PSR Executive meetings and Audit Committee meetings. </w:t>
      </w:r>
    </w:p>
    <w:p w:rsidR="00FA6C41" w:rsidRPr="00CE22CE" w:rsidRDefault="00FA6C41" w:rsidP="00D21D48">
      <w:pPr>
        <w:pStyle w:val="bodytext"/>
      </w:pPr>
      <w:r w:rsidRPr="00FA6C41">
        <w:t xml:space="preserve">During 2013–14 there were no reported incidents of fraud.  </w:t>
      </w:r>
    </w:p>
    <w:p w:rsidR="00FA6C41" w:rsidRPr="00FA6C41" w:rsidRDefault="00FA6C41" w:rsidP="00CE22CE">
      <w:pPr>
        <w:pStyle w:val="Heading3"/>
        <w:rPr>
          <w:lang w:val="en-GB"/>
        </w:rPr>
      </w:pPr>
      <w:bookmarkStart w:id="139" w:name="_Toc275439492"/>
      <w:bookmarkStart w:id="140" w:name="_Toc276039588"/>
      <w:bookmarkStart w:id="141" w:name="_Toc276039952"/>
      <w:bookmarkStart w:id="142" w:name="_Toc276040194"/>
      <w:r w:rsidRPr="00FA6C41">
        <w:rPr>
          <w:lang w:val="en-GB"/>
        </w:rPr>
        <w:t>External scrutiny</w:t>
      </w:r>
      <w:bookmarkEnd w:id="139"/>
      <w:bookmarkEnd w:id="140"/>
      <w:bookmarkEnd w:id="141"/>
      <w:bookmarkEnd w:id="142"/>
    </w:p>
    <w:p w:rsidR="00FA6C41" w:rsidRPr="00FA6C41" w:rsidRDefault="00FA6C41" w:rsidP="00D21D48">
      <w:pPr>
        <w:pStyle w:val="bodytext"/>
      </w:pPr>
      <w:r w:rsidRPr="00FA6C41">
        <w:t xml:space="preserve">PSR was not subject to any other external reviews during the 2013–14 financial </w:t>
      </w:r>
      <w:proofErr w:type="gramStart"/>
      <w:r w:rsidRPr="00FA6C41">
        <w:t>year</w:t>
      </w:r>
      <w:proofErr w:type="gramEnd"/>
      <w:r w:rsidRPr="00FA6C41">
        <w:t xml:space="preserve">. During the year PSR finalised the recommendations resulting from the 2011 Senate inquiry into the PSR Scheme. These recommendations were aimed at refining the administration of the scheme and improving its effectiveness and transparency. </w:t>
      </w:r>
      <w:proofErr w:type="gramStart"/>
      <w:r w:rsidRPr="00FA6C41">
        <w:t>The finalisation of these recommendations was overseen by both the internal PSR Audit Committee and the Professional Services Review Advisory Committee</w:t>
      </w:r>
      <w:proofErr w:type="gramEnd"/>
      <w:r w:rsidRPr="00FA6C41">
        <w:t>.</w:t>
      </w:r>
    </w:p>
    <w:p w:rsidR="00FA6C41" w:rsidRPr="00FA6C41" w:rsidRDefault="00FA6C41" w:rsidP="00CE22CE">
      <w:pPr>
        <w:pStyle w:val="Heading3"/>
        <w:rPr>
          <w:lang w:val="en-GB"/>
        </w:rPr>
      </w:pPr>
      <w:bookmarkStart w:id="143" w:name="_Toc275439493"/>
      <w:bookmarkStart w:id="144" w:name="_Toc276039589"/>
      <w:bookmarkStart w:id="145" w:name="_Toc276039953"/>
      <w:bookmarkStart w:id="146" w:name="_Toc276040195"/>
      <w:r w:rsidRPr="00FA6C41">
        <w:rPr>
          <w:lang w:val="en-GB"/>
        </w:rPr>
        <w:t>Audit Committee</w:t>
      </w:r>
      <w:bookmarkEnd w:id="143"/>
      <w:bookmarkEnd w:id="144"/>
      <w:bookmarkEnd w:id="145"/>
      <w:bookmarkEnd w:id="146"/>
    </w:p>
    <w:p w:rsidR="00FA6C41" w:rsidRPr="00FA6C41" w:rsidRDefault="00FA6C41" w:rsidP="00D21D48">
      <w:pPr>
        <w:pStyle w:val="bodytext"/>
      </w:pPr>
      <w:r w:rsidRPr="00FA6C41">
        <w:t xml:space="preserve">The </w:t>
      </w:r>
      <w:proofErr w:type="gramStart"/>
      <w:r w:rsidRPr="00FA6C41">
        <w:t>Audit Committee is established by the Director PSR under section 46 of the FMA Act</w:t>
      </w:r>
      <w:proofErr w:type="gramEnd"/>
      <w:r w:rsidRPr="00FA6C41">
        <w:t xml:space="preserve">. It provides independent advice on the agency’s governance arrangements, risk management framework, internal control and compliance framework and financial statement responsibilities. </w:t>
      </w:r>
    </w:p>
    <w:p w:rsidR="00FA6C41" w:rsidRPr="00FA6C41" w:rsidRDefault="00FA6C41" w:rsidP="00D21D48">
      <w:pPr>
        <w:pStyle w:val="bodytext"/>
      </w:pPr>
      <w:r w:rsidRPr="00FA6C41">
        <w:t xml:space="preserve">At the beginning of the 2013–14 financial </w:t>
      </w:r>
      <w:proofErr w:type="gramStart"/>
      <w:r w:rsidRPr="00FA6C41">
        <w:t>year</w:t>
      </w:r>
      <w:proofErr w:type="gramEnd"/>
      <w:r w:rsidRPr="00FA6C41">
        <w:t xml:space="preserve"> KPMG was appointed as the new internal auditors for PSR for a term of three years. The appointment of KPMG follows a long and productive association between PSR and Moore Stephens, the agency’s previous internal auditor. </w:t>
      </w:r>
    </w:p>
    <w:p w:rsidR="00FA6C41" w:rsidRPr="00FA6C41" w:rsidRDefault="00FA6C41" w:rsidP="00D21D48">
      <w:pPr>
        <w:pStyle w:val="bodytext"/>
      </w:pPr>
      <w:r w:rsidRPr="00FA6C41">
        <w:t>With the appointment of the new internal auditor PSR, in consultation with KPMG and the PSR Audit Committee, undertook a review of all of its internal audit related processes. PSR also developed a new Audit Plan, which was approved by the Audit Committee. One of the first internal audits undertaken by KPMG was a review of the PSR Controls Framework. This audit was undertaken to give PSR assurance in relation to areas of the Controls Framework that are working effectively and to identify any areas for improvement, including aspects of PSR’s preparation for the implementation of the new Public Governance, Performance and Accountability Act.</w:t>
      </w:r>
    </w:p>
    <w:p w:rsidR="00FA6C41" w:rsidRPr="00FA6C41" w:rsidRDefault="00FA6C41" w:rsidP="00D21D48">
      <w:pPr>
        <w:pStyle w:val="bodytext"/>
      </w:pPr>
      <w:r w:rsidRPr="00FA6C41">
        <w:t>The PSR Audit Committee consists of an independent chair, an independent member and the agency’s Executive Officer. In 2013–14 Ms Gayle Ginnane was the independent chair and Ms Diane Fielding was the independent member. Participating observers include representatives from the Australian National Audit Office and KPMG.</w:t>
      </w:r>
    </w:p>
    <w:p w:rsidR="00FA6C41" w:rsidRPr="00FA6C41" w:rsidRDefault="00FA6C41" w:rsidP="00D21D48">
      <w:pPr>
        <w:pStyle w:val="bodytext"/>
      </w:pPr>
      <w:r w:rsidRPr="00FA6C41">
        <w:t xml:space="preserve">In 2013–14, the Audit Committee met on four occasions. In addition the Chair reported regularly to the Director PSR.  </w:t>
      </w:r>
    </w:p>
    <w:p w:rsidR="00FA6C41" w:rsidRPr="00FA6C41" w:rsidRDefault="00FA6C41" w:rsidP="00CE22CE">
      <w:pPr>
        <w:pStyle w:val="Heading3"/>
        <w:rPr>
          <w:lang w:val="en-GB"/>
        </w:rPr>
      </w:pPr>
      <w:bookmarkStart w:id="147" w:name="_Toc275439494"/>
      <w:bookmarkStart w:id="148" w:name="_Toc276039590"/>
      <w:bookmarkStart w:id="149" w:name="_Toc276039954"/>
      <w:bookmarkStart w:id="150" w:name="_Toc276040196"/>
      <w:r w:rsidRPr="00FA6C41">
        <w:rPr>
          <w:lang w:val="en-GB"/>
        </w:rPr>
        <w:t>Ethical standards</w:t>
      </w:r>
      <w:bookmarkEnd w:id="147"/>
      <w:bookmarkEnd w:id="148"/>
      <w:bookmarkEnd w:id="149"/>
      <w:bookmarkEnd w:id="150"/>
    </w:p>
    <w:p w:rsidR="00FA6C41" w:rsidRPr="00FA6C41" w:rsidRDefault="00FA6C41" w:rsidP="00D21D48">
      <w:pPr>
        <w:pStyle w:val="bodytext"/>
      </w:pPr>
      <w:r w:rsidRPr="00FA6C41">
        <w:t xml:space="preserve">PSR recognises its responsibilities as a part of the broader Australian Public Service (APS). As a statutory agency, PSR is committed to the APS Values and Code of Conduct outlined in the </w:t>
      </w:r>
      <w:r w:rsidRPr="00CE22CE">
        <w:rPr>
          <w:i/>
        </w:rPr>
        <w:t>Public Service Act 1999</w:t>
      </w:r>
      <w:r w:rsidRPr="00FA6C41">
        <w:t>. In addition, to help guide its performance PSR has defined its own values and behaviours, which are underpinned by the APS Values. Our values and behaviours</w:t>
      </w:r>
      <w:r w:rsidRPr="00CE22CE">
        <w:t>—</w:t>
      </w:r>
      <w:r w:rsidRPr="00CE22CE">
        <w:rPr>
          <w:b/>
        </w:rPr>
        <w:t>fair, transparent</w:t>
      </w:r>
      <w:r w:rsidRPr="00CE22CE">
        <w:t xml:space="preserve"> and </w:t>
      </w:r>
      <w:r w:rsidRPr="00CE22CE">
        <w:rPr>
          <w:b/>
        </w:rPr>
        <w:t>professional</w:t>
      </w:r>
      <w:r w:rsidRPr="00FA6C41">
        <w:t>—address the unique aspects of our business and environment and guide us in how we conduct ourselves in performing our role.</w:t>
      </w:r>
    </w:p>
    <w:p w:rsidR="00FA6C41" w:rsidRPr="00FA6C41" w:rsidRDefault="00FA6C41" w:rsidP="00D21D48">
      <w:pPr>
        <w:pStyle w:val="bodytext"/>
      </w:pPr>
      <w:r w:rsidRPr="00FA6C41">
        <w:t xml:space="preserve">To PSR, being </w:t>
      </w:r>
      <w:r w:rsidRPr="00CE22CE">
        <w:rPr>
          <w:b/>
        </w:rPr>
        <w:t>fair</w:t>
      </w:r>
      <w:r w:rsidRPr="00FA6C41">
        <w:rPr>
          <w:rFonts w:ascii="SamoSansPro-Bold" w:hAnsi="SamoSansPro-Bold" w:cs="SamoSansPro-Bold"/>
          <w:b/>
          <w:bCs/>
        </w:rPr>
        <w:t xml:space="preserve"> </w:t>
      </w:r>
      <w:r w:rsidRPr="00FA6C41">
        <w:t>means:</w:t>
      </w:r>
    </w:p>
    <w:p w:rsidR="00FA6C41" w:rsidRPr="00FA6C41" w:rsidRDefault="00FA6C41" w:rsidP="004C030E">
      <w:pPr>
        <w:pStyle w:val="ListBullet"/>
        <w:rPr>
          <w:lang w:val="en-GB"/>
        </w:rPr>
      </w:pPr>
      <w:proofErr w:type="gramStart"/>
      <w:r w:rsidRPr="00FA6C41">
        <w:rPr>
          <w:lang w:val="en-GB"/>
        </w:rPr>
        <w:t>providing</w:t>
      </w:r>
      <w:proofErr w:type="gramEnd"/>
      <w:r w:rsidRPr="00FA6C41">
        <w:rPr>
          <w:lang w:val="en-GB"/>
        </w:rPr>
        <w:t xml:space="preserve"> procedural fairness in the operation of the PSR Scheme</w:t>
      </w:r>
    </w:p>
    <w:p w:rsidR="00FA6C41" w:rsidRPr="00FA6C41" w:rsidRDefault="00FA6C41" w:rsidP="004C030E">
      <w:pPr>
        <w:pStyle w:val="ListBullet"/>
        <w:rPr>
          <w:lang w:val="en-GB"/>
        </w:rPr>
      </w:pPr>
      <w:proofErr w:type="gramStart"/>
      <w:r w:rsidRPr="00FA6C41">
        <w:rPr>
          <w:lang w:val="en-GB"/>
        </w:rPr>
        <w:t>using</w:t>
      </w:r>
      <w:proofErr w:type="gramEnd"/>
      <w:r w:rsidRPr="00FA6C41">
        <w:rPr>
          <w:lang w:val="en-GB"/>
        </w:rPr>
        <w:t xml:space="preserve"> consistent processes to arrive at justifiable decisions</w:t>
      </w:r>
    </w:p>
    <w:p w:rsidR="00FA6C41" w:rsidRPr="00FA6C41" w:rsidRDefault="00FA6C41" w:rsidP="004C030E">
      <w:pPr>
        <w:pStyle w:val="ListBullet"/>
        <w:rPr>
          <w:lang w:val="en-GB"/>
        </w:rPr>
      </w:pPr>
      <w:proofErr w:type="gramStart"/>
      <w:r w:rsidRPr="00FA6C41">
        <w:rPr>
          <w:lang w:val="en-GB"/>
        </w:rPr>
        <w:t>delivering</w:t>
      </w:r>
      <w:proofErr w:type="gramEnd"/>
      <w:r w:rsidRPr="00FA6C41">
        <w:rPr>
          <w:lang w:val="en-GB"/>
        </w:rPr>
        <w:t xml:space="preserve"> an effective and impartial PSR scheme</w:t>
      </w:r>
    </w:p>
    <w:p w:rsidR="00FA6C41" w:rsidRPr="00FA6C41" w:rsidRDefault="00FA6C41" w:rsidP="00D21D48">
      <w:pPr>
        <w:pStyle w:val="ListBullet"/>
        <w:rPr>
          <w:rFonts w:ascii="ArialNarrow" w:hAnsi="ArialNarrow" w:cs="ArialNarrow"/>
          <w:lang w:val="en-AU"/>
        </w:rPr>
      </w:pPr>
      <w:proofErr w:type="gramStart"/>
      <w:r w:rsidRPr="00FA6C41">
        <w:rPr>
          <w:lang w:val="en-GB"/>
        </w:rPr>
        <w:t>explaining</w:t>
      </w:r>
      <w:proofErr w:type="gramEnd"/>
      <w:r w:rsidRPr="00FA6C41">
        <w:rPr>
          <w:lang w:val="en-GB"/>
        </w:rPr>
        <w:t xml:space="preserve"> the process to stakeholders. </w:t>
      </w:r>
    </w:p>
    <w:p w:rsidR="00FA6C41" w:rsidRPr="00FA6C41" w:rsidRDefault="00FA6C41" w:rsidP="00D21D48">
      <w:pPr>
        <w:pStyle w:val="bodytext"/>
      </w:pPr>
      <w:r w:rsidRPr="00FA6C41">
        <w:t xml:space="preserve">To PSR, being </w:t>
      </w:r>
      <w:r w:rsidRPr="00CE22CE">
        <w:rPr>
          <w:b/>
        </w:rPr>
        <w:t>transparent</w:t>
      </w:r>
      <w:r w:rsidRPr="00FA6C41">
        <w:rPr>
          <w:rFonts w:ascii="SamoSansPro-Bold" w:hAnsi="SamoSansPro-Bold" w:cs="SamoSansPro-Bold"/>
          <w:b/>
          <w:bCs/>
        </w:rPr>
        <w:t xml:space="preserve"> </w:t>
      </w:r>
      <w:r w:rsidRPr="00FA6C41">
        <w:t>means:</w:t>
      </w:r>
    </w:p>
    <w:p w:rsidR="00FA6C41" w:rsidRPr="00FA6C41" w:rsidRDefault="00FA6C41" w:rsidP="004C030E">
      <w:pPr>
        <w:pStyle w:val="ListBullet"/>
        <w:rPr>
          <w:lang w:val="en-GB"/>
        </w:rPr>
      </w:pPr>
      <w:proofErr w:type="gramStart"/>
      <w:r w:rsidRPr="00FA6C41">
        <w:rPr>
          <w:lang w:val="en-GB"/>
        </w:rPr>
        <w:t>accurately</w:t>
      </w:r>
      <w:proofErr w:type="gramEnd"/>
      <w:r w:rsidRPr="00FA6C41">
        <w:rPr>
          <w:lang w:val="en-GB"/>
        </w:rPr>
        <w:t xml:space="preserve"> informing practitioners of their rights and responsibilities</w:t>
      </w:r>
    </w:p>
    <w:p w:rsidR="00FA6C41" w:rsidRPr="00FA6C41" w:rsidRDefault="00FA6C41" w:rsidP="004C030E">
      <w:pPr>
        <w:pStyle w:val="ListBullet"/>
        <w:rPr>
          <w:lang w:val="en-GB"/>
        </w:rPr>
      </w:pPr>
      <w:proofErr w:type="gramStart"/>
      <w:r w:rsidRPr="00FA6C41">
        <w:rPr>
          <w:lang w:val="en-GB"/>
        </w:rPr>
        <w:t>accurately</w:t>
      </w:r>
      <w:proofErr w:type="gramEnd"/>
      <w:r w:rsidRPr="00FA6C41">
        <w:rPr>
          <w:lang w:val="en-GB"/>
        </w:rPr>
        <w:t xml:space="preserve"> informing practitioners of PSR’s powers, responsibilities and intentions</w:t>
      </w:r>
    </w:p>
    <w:p w:rsidR="00FA6C41" w:rsidRPr="00FA6C41" w:rsidRDefault="00FA6C41" w:rsidP="004C030E">
      <w:pPr>
        <w:pStyle w:val="ListBullet"/>
        <w:rPr>
          <w:lang w:val="en-GB"/>
        </w:rPr>
      </w:pPr>
      <w:proofErr w:type="gramStart"/>
      <w:r w:rsidRPr="00FA6C41">
        <w:rPr>
          <w:lang w:val="en-GB"/>
        </w:rPr>
        <w:t>proactively</w:t>
      </w:r>
      <w:proofErr w:type="gramEnd"/>
      <w:r w:rsidRPr="00FA6C41">
        <w:rPr>
          <w:lang w:val="en-GB"/>
        </w:rPr>
        <w:t xml:space="preserve"> sharing information about the scheme, our outcomes and our activities</w:t>
      </w:r>
    </w:p>
    <w:p w:rsidR="00FA6C41" w:rsidRPr="00FA6C41" w:rsidRDefault="00FA6C41" w:rsidP="004C030E">
      <w:pPr>
        <w:pStyle w:val="ListBullet"/>
        <w:rPr>
          <w:rFonts w:ascii="ArialNarrow" w:hAnsi="ArialNarrow" w:cs="ArialNarrow"/>
          <w:lang w:val="en-AU"/>
        </w:rPr>
      </w:pPr>
      <w:proofErr w:type="gramStart"/>
      <w:r w:rsidRPr="00FA6C41">
        <w:rPr>
          <w:lang w:val="en-GB"/>
        </w:rPr>
        <w:t>explaining</w:t>
      </w:r>
      <w:proofErr w:type="gramEnd"/>
      <w:r w:rsidRPr="00FA6C41">
        <w:rPr>
          <w:lang w:val="en-GB"/>
        </w:rPr>
        <w:t xml:space="preserve"> the reasons for outcomes.</w:t>
      </w:r>
    </w:p>
    <w:p w:rsidR="00FA6C41" w:rsidRPr="00FA6C41" w:rsidRDefault="00FA6C41" w:rsidP="00D21D48">
      <w:pPr>
        <w:pStyle w:val="bodytext"/>
      </w:pPr>
      <w:r w:rsidRPr="00FA6C41">
        <w:t xml:space="preserve">To PSR, being </w:t>
      </w:r>
      <w:r w:rsidRPr="00CE22CE">
        <w:rPr>
          <w:b/>
        </w:rPr>
        <w:t>professional</w:t>
      </w:r>
      <w:r w:rsidRPr="00FA6C41">
        <w:rPr>
          <w:rFonts w:ascii="SamoSansPro-Bold" w:hAnsi="SamoSansPro-Bold" w:cs="SamoSansPro-Bold"/>
          <w:b/>
          <w:bCs/>
        </w:rPr>
        <w:t xml:space="preserve"> </w:t>
      </w:r>
      <w:r w:rsidRPr="00FA6C41">
        <w:t>means:</w:t>
      </w:r>
    </w:p>
    <w:p w:rsidR="00FA6C41" w:rsidRPr="00FA6C41" w:rsidRDefault="00FA6C41" w:rsidP="004C030E">
      <w:pPr>
        <w:pStyle w:val="ListBullet"/>
        <w:rPr>
          <w:lang w:val="en-GB"/>
        </w:rPr>
      </w:pPr>
      <w:proofErr w:type="gramStart"/>
      <w:r w:rsidRPr="00FA6C41">
        <w:rPr>
          <w:lang w:val="en-GB"/>
        </w:rPr>
        <w:t>being</w:t>
      </w:r>
      <w:proofErr w:type="gramEnd"/>
      <w:r w:rsidRPr="00FA6C41">
        <w:rPr>
          <w:lang w:val="en-GB"/>
        </w:rPr>
        <w:t xml:space="preserve"> accountable for our actions and decisions</w:t>
      </w:r>
    </w:p>
    <w:p w:rsidR="00FA6C41" w:rsidRPr="00FA6C41" w:rsidRDefault="00FA6C41" w:rsidP="004C030E">
      <w:pPr>
        <w:pStyle w:val="ListBullet"/>
        <w:rPr>
          <w:lang w:val="en-GB"/>
        </w:rPr>
      </w:pPr>
      <w:proofErr w:type="gramStart"/>
      <w:r w:rsidRPr="00FA6C41">
        <w:rPr>
          <w:lang w:val="en-GB"/>
        </w:rPr>
        <w:t>complying</w:t>
      </w:r>
      <w:proofErr w:type="gramEnd"/>
      <w:r w:rsidRPr="00FA6C41">
        <w:rPr>
          <w:lang w:val="en-GB"/>
        </w:rPr>
        <w:t xml:space="preserve"> with Commonwealth legislative requirements and expectations</w:t>
      </w:r>
    </w:p>
    <w:p w:rsidR="00FA6C41" w:rsidRPr="00FA6C41" w:rsidRDefault="00FA6C41" w:rsidP="004C030E">
      <w:pPr>
        <w:pStyle w:val="ListBullet"/>
        <w:rPr>
          <w:lang w:val="en-GB"/>
        </w:rPr>
      </w:pPr>
      <w:proofErr w:type="gramStart"/>
      <w:r w:rsidRPr="00FA6C41">
        <w:rPr>
          <w:lang w:val="en-GB"/>
        </w:rPr>
        <w:t>operating</w:t>
      </w:r>
      <w:proofErr w:type="gramEnd"/>
      <w:r w:rsidRPr="00FA6C41">
        <w:rPr>
          <w:lang w:val="en-GB"/>
        </w:rPr>
        <w:t xml:space="preserve"> with integrity and honesty</w:t>
      </w:r>
    </w:p>
    <w:p w:rsidR="00FA6C41" w:rsidRPr="00FA6C41" w:rsidRDefault="00FA6C41" w:rsidP="004C030E">
      <w:pPr>
        <w:pStyle w:val="ListBullet"/>
        <w:rPr>
          <w:lang w:val="en-GB"/>
        </w:rPr>
      </w:pPr>
      <w:proofErr w:type="gramStart"/>
      <w:r w:rsidRPr="00FA6C41">
        <w:rPr>
          <w:lang w:val="en-GB"/>
        </w:rPr>
        <w:t>protecting</w:t>
      </w:r>
      <w:proofErr w:type="gramEnd"/>
      <w:r w:rsidRPr="00FA6C41">
        <w:rPr>
          <w:lang w:val="en-GB"/>
        </w:rPr>
        <w:t xml:space="preserve"> the privacy and confidentiality of the information we receive, use and create</w:t>
      </w:r>
    </w:p>
    <w:p w:rsidR="00FA6C41" w:rsidRPr="00FA6C41" w:rsidRDefault="00FA6C41" w:rsidP="004C030E">
      <w:pPr>
        <w:pStyle w:val="ListBullet"/>
        <w:rPr>
          <w:lang w:val="en-GB"/>
        </w:rPr>
      </w:pPr>
      <w:proofErr w:type="gramStart"/>
      <w:r w:rsidRPr="00FA6C41">
        <w:rPr>
          <w:lang w:val="en-GB"/>
        </w:rPr>
        <w:t>treating</w:t>
      </w:r>
      <w:proofErr w:type="gramEnd"/>
      <w:r w:rsidRPr="00FA6C41">
        <w:rPr>
          <w:lang w:val="en-GB"/>
        </w:rPr>
        <w:t xml:space="preserve"> all people with courtesy and respect</w:t>
      </w:r>
    </w:p>
    <w:p w:rsidR="00FA6C41" w:rsidRPr="00FA6C41" w:rsidRDefault="00FA6C41" w:rsidP="004C030E">
      <w:pPr>
        <w:pStyle w:val="ListBullet"/>
        <w:rPr>
          <w:lang w:val="en-GB"/>
        </w:rPr>
      </w:pPr>
      <w:proofErr w:type="gramStart"/>
      <w:r w:rsidRPr="00FA6C41">
        <w:rPr>
          <w:lang w:val="en-GB"/>
        </w:rPr>
        <w:t>using</w:t>
      </w:r>
      <w:proofErr w:type="gramEnd"/>
      <w:r w:rsidRPr="00FA6C41">
        <w:rPr>
          <w:lang w:val="en-GB"/>
        </w:rPr>
        <w:t xml:space="preserve"> time and resources effectively.</w:t>
      </w:r>
    </w:p>
    <w:p w:rsidR="00FA6C41" w:rsidRPr="00FA6C41" w:rsidRDefault="00FA6C41" w:rsidP="00CD075F">
      <w:pPr>
        <w:pStyle w:val="Heading2"/>
      </w:pPr>
      <w:bookmarkStart w:id="151" w:name="_Toc275439495"/>
      <w:bookmarkStart w:id="152" w:name="_Toc276040197"/>
      <w:r w:rsidRPr="00FA6C41">
        <w:t>Management of human resources</w:t>
      </w:r>
      <w:bookmarkEnd w:id="151"/>
      <w:bookmarkEnd w:id="152"/>
    </w:p>
    <w:p w:rsidR="00FA6C41" w:rsidRPr="00FA6C41" w:rsidRDefault="00FA6C41" w:rsidP="00D21D48">
      <w:pPr>
        <w:pStyle w:val="bodytext"/>
      </w:pPr>
      <w:r w:rsidRPr="00FA6C41">
        <w:t xml:space="preserve">During 2013–14 PSR reviewed its human resource policies and guidelines to ensure that they are clear and transparent for staff and appropriately reflect the rights and obligations of PSR employees.  </w:t>
      </w:r>
    </w:p>
    <w:p w:rsidR="00FA6C41" w:rsidRPr="00FA6C41" w:rsidRDefault="00FA6C41" w:rsidP="00D21D48">
      <w:pPr>
        <w:pStyle w:val="bodytext"/>
      </w:pPr>
      <w:r w:rsidRPr="00FA6C41">
        <w:t xml:space="preserve">PSR ensures all employees work in an environment that allows them to reach their full potential and where they are treated fairly, equitably and with respect. These values are embedded in the agency’s Performance Development Scheme.  </w:t>
      </w:r>
    </w:p>
    <w:p w:rsidR="00FA6C41" w:rsidRPr="00FA6C41" w:rsidRDefault="00FA6C41" w:rsidP="00D21D48">
      <w:pPr>
        <w:pStyle w:val="bodytext"/>
      </w:pPr>
      <w:r w:rsidRPr="00FA6C41">
        <w:t>PSR is committed to developing and maintaining a culture that encourages and supports all employees in raising concerns about unacceptable behaviour, is free from bullying and harassment and provides protection to employees who report instances of suspected breaches of the Code of Conduct from discrimination or victimisation. Agency procedures for managing alleged breaches of the Code of Conduct set out how allegations will be managed; these procedures are available to all employees via the intranet.</w:t>
      </w:r>
    </w:p>
    <w:p w:rsidR="00FA6C41" w:rsidRPr="00FA6C41" w:rsidRDefault="00FA6C41" w:rsidP="00D21D48">
      <w:pPr>
        <w:pStyle w:val="bodytext"/>
        <w:rPr>
          <w:rFonts w:ascii="SamoSansPro-Bold" w:hAnsi="SamoSansPro-Bold" w:cs="SamoSansPro-Bold"/>
          <w:b/>
          <w:bCs/>
        </w:rPr>
      </w:pPr>
      <w:r w:rsidRPr="00FA6C41">
        <w:t xml:space="preserve">During the coming financial year PSR will begin negotiations for a new enterprise agreement.   </w:t>
      </w:r>
    </w:p>
    <w:p w:rsidR="00FA6C41" w:rsidRPr="00FA6C41" w:rsidRDefault="00FA6C41" w:rsidP="00CD075F">
      <w:pPr>
        <w:pStyle w:val="Heading3"/>
        <w:rPr>
          <w:lang w:val="en-GB"/>
        </w:rPr>
      </w:pPr>
      <w:bookmarkStart w:id="153" w:name="_Toc275439496"/>
      <w:bookmarkStart w:id="154" w:name="_Toc276039592"/>
      <w:bookmarkStart w:id="155" w:name="_Toc276039956"/>
      <w:bookmarkStart w:id="156" w:name="_Toc276040198"/>
      <w:r w:rsidRPr="00FA6C41">
        <w:rPr>
          <w:lang w:val="en-GB"/>
        </w:rPr>
        <w:t>Australian Public Service staff</w:t>
      </w:r>
      <w:bookmarkEnd w:id="153"/>
      <w:bookmarkEnd w:id="154"/>
      <w:bookmarkEnd w:id="155"/>
      <w:bookmarkEnd w:id="156"/>
    </w:p>
    <w:p w:rsidR="00FA6C41" w:rsidRPr="00FA6C41" w:rsidRDefault="00FA6C41" w:rsidP="00D21D48">
      <w:pPr>
        <w:pStyle w:val="bodytext"/>
      </w:pPr>
      <w:r w:rsidRPr="00FA6C41">
        <w:t>Staff employed by PSR, with the exception of the PSR Director, are employed under the Public Service Act.</w:t>
      </w:r>
    </w:p>
    <w:p w:rsidR="00FA6C41" w:rsidRPr="00FA6C41" w:rsidRDefault="00FA6C41" w:rsidP="00D21D48">
      <w:pPr>
        <w:pStyle w:val="bodytext"/>
      </w:pPr>
      <w:r w:rsidRPr="00FA6C41">
        <w:t xml:space="preserve">At 30 June 2014, PSR employed 18 APS staff members, including staff on long-term leave and secondment. </w:t>
      </w:r>
    </w:p>
    <w:p w:rsidR="00FA6C41" w:rsidRPr="00FA6C41" w:rsidRDefault="00FA6C41" w:rsidP="00D21D48">
      <w:pPr>
        <w:pStyle w:val="bodytext"/>
      </w:pPr>
      <w:r w:rsidRPr="00FA6C41">
        <w:t>Table 5 provides details of staff numbers by classification, gender, employment category and status. It includes staff on temporary transfer to PSR from another government agency or on secondment from PSR to another government agency, as well as staff on long-term leave.</w:t>
      </w:r>
    </w:p>
    <w:p w:rsidR="00FA6C41" w:rsidRPr="00FA6C41" w:rsidRDefault="00FA6C41" w:rsidP="00CD075F">
      <w:pPr>
        <w:pStyle w:val="tabletitle"/>
      </w:pPr>
      <w:r w:rsidRPr="00FA6C41">
        <w:t>Table 5: PSR APS staff by classification and employment category, at 30 June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09"/>
        <w:gridCol w:w="1325"/>
        <w:gridCol w:w="1127"/>
        <w:gridCol w:w="1327"/>
        <w:gridCol w:w="1585"/>
        <w:gridCol w:w="1240"/>
        <w:gridCol w:w="1387"/>
        <w:gridCol w:w="836"/>
      </w:tblGrid>
      <w:tr w:rsidR="00AE7496" w:rsidRPr="00FA6C41">
        <w:trPr>
          <w:trHeight w:val="300"/>
        </w:trPr>
        <w:tc>
          <w:tcPr>
            <w:tcW w:w="850" w:type="pct"/>
            <w:shd w:val="clear" w:color="auto" w:fill="365F91" w:themeFill="accent1" w:themeFillShade="BF"/>
            <w:tcMar>
              <w:top w:w="85" w:type="dxa"/>
              <w:left w:w="85" w:type="dxa"/>
              <w:bottom w:w="85" w:type="dxa"/>
              <w:right w:w="85" w:type="dxa"/>
            </w:tcMar>
            <w:vAlign w:val="bottom"/>
          </w:tcPr>
          <w:p w:rsidR="00FA6C41" w:rsidRPr="00D21D48" w:rsidRDefault="00FA6C41" w:rsidP="00D21D48">
            <w:pPr>
              <w:pStyle w:val="bodytext"/>
              <w:rPr>
                <w:color w:val="FFFFFF" w:themeColor="background1"/>
              </w:rPr>
            </w:pPr>
            <w:r w:rsidRPr="00D21D48">
              <w:rPr>
                <w:color w:val="FFFFFF" w:themeColor="background1"/>
              </w:rPr>
              <w:t>Classification</w:t>
            </w:r>
          </w:p>
        </w:tc>
        <w:tc>
          <w:tcPr>
            <w:tcW w:w="1153" w:type="pct"/>
            <w:gridSpan w:val="2"/>
            <w:shd w:val="clear" w:color="auto" w:fill="365F91" w:themeFill="accent1" w:themeFillShade="BF"/>
            <w:tcMar>
              <w:top w:w="85" w:type="dxa"/>
              <w:left w:w="85" w:type="dxa"/>
              <w:bottom w:w="85" w:type="dxa"/>
              <w:right w:w="85" w:type="dxa"/>
            </w:tcMar>
            <w:vAlign w:val="bottom"/>
          </w:tcPr>
          <w:p w:rsidR="00FA6C41" w:rsidRPr="00D21D48" w:rsidRDefault="00FA6C41" w:rsidP="00D21D48">
            <w:pPr>
              <w:pStyle w:val="bodytext"/>
              <w:jc w:val="center"/>
              <w:rPr>
                <w:color w:val="FFFFFF" w:themeColor="background1"/>
              </w:rPr>
            </w:pPr>
            <w:r w:rsidRPr="00D21D48">
              <w:rPr>
                <w:color w:val="FFFFFF" w:themeColor="background1"/>
              </w:rPr>
              <w:t>Gender</w:t>
            </w:r>
          </w:p>
        </w:tc>
        <w:tc>
          <w:tcPr>
            <w:tcW w:w="1369" w:type="pct"/>
            <w:gridSpan w:val="2"/>
            <w:shd w:val="clear" w:color="auto" w:fill="365F91" w:themeFill="accent1" w:themeFillShade="BF"/>
            <w:tcMar>
              <w:top w:w="85" w:type="dxa"/>
              <w:left w:w="85" w:type="dxa"/>
              <w:bottom w:w="85" w:type="dxa"/>
              <w:right w:w="85" w:type="dxa"/>
            </w:tcMar>
            <w:vAlign w:val="bottom"/>
          </w:tcPr>
          <w:p w:rsidR="00FA6C41" w:rsidRPr="00D21D48" w:rsidRDefault="00FA6C41" w:rsidP="00D21D48">
            <w:pPr>
              <w:pStyle w:val="bodytext"/>
              <w:jc w:val="right"/>
              <w:rPr>
                <w:color w:val="FFFFFF" w:themeColor="background1"/>
              </w:rPr>
            </w:pPr>
            <w:r w:rsidRPr="00D21D48">
              <w:rPr>
                <w:color w:val="FFFFFF" w:themeColor="background1"/>
              </w:rPr>
              <w:t>Employment category</w:t>
            </w:r>
          </w:p>
        </w:tc>
        <w:tc>
          <w:tcPr>
            <w:tcW w:w="1235" w:type="pct"/>
            <w:gridSpan w:val="2"/>
            <w:shd w:val="clear" w:color="auto" w:fill="365F91" w:themeFill="accent1" w:themeFillShade="BF"/>
            <w:tcMar>
              <w:top w:w="85" w:type="dxa"/>
              <w:left w:w="85" w:type="dxa"/>
              <w:bottom w:w="85" w:type="dxa"/>
              <w:right w:w="85" w:type="dxa"/>
            </w:tcMar>
            <w:vAlign w:val="bottom"/>
          </w:tcPr>
          <w:p w:rsidR="00FA6C41" w:rsidRPr="00D21D48" w:rsidRDefault="00FA6C41" w:rsidP="00D21D48">
            <w:pPr>
              <w:pStyle w:val="bodytext"/>
              <w:jc w:val="right"/>
              <w:rPr>
                <w:color w:val="FFFFFF" w:themeColor="background1"/>
              </w:rPr>
            </w:pPr>
            <w:r w:rsidRPr="00D21D48">
              <w:rPr>
                <w:color w:val="FFFFFF" w:themeColor="background1"/>
              </w:rPr>
              <w:t>Employment status</w:t>
            </w:r>
          </w:p>
        </w:tc>
        <w:tc>
          <w:tcPr>
            <w:tcW w:w="393" w:type="pct"/>
            <w:shd w:val="clear" w:color="auto" w:fill="365F91" w:themeFill="accent1" w:themeFillShade="BF"/>
            <w:tcMar>
              <w:top w:w="85" w:type="dxa"/>
              <w:left w:w="85" w:type="dxa"/>
              <w:bottom w:w="85" w:type="dxa"/>
              <w:right w:w="85" w:type="dxa"/>
            </w:tcMar>
            <w:vAlign w:val="bottom"/>
          </w:tcPr>
          <w:p w:rsidR="00FA6C41" w:rsidRPr="00D21D48" w:rsidRDefault="00FA6C41" w:rsidP="00D21D48">
            <w:pPr>
              <w:pStyle w:val="bodytext"/>
              <w:jc w:val="right"/>
              <w:rPr>
                <w:color w:val="FFFFFF" w:themeColor="background1"/>
              </w:rPr>
            </w:pPr>
            <w:r w:rsidRPr="00D21D48">
              <w:rPr>
                <w:color w:val="FFFFFF" w:themeColor="background1"/>
              </w:rPr>
              <w:t>Total</w:t>
            </w:r>
          </w:p>
        </w:tc>
      </w:tr>
      <w:tr w:rsidR="00AE7496" w:rsidRPr="00FA6C41">
        <w:trPr>
          <w:trHeight w:hRule="exact" w:val="851"/>
        </w:trPr>
        <w:tc>
          <w:tcPr>
            <w:tcW w:w="850" w:type="pct"/>
            <w:shd w:val="clear" w:color="auto" w:fill="B8CCE4" w:themeFill="accent1" w:themeFillTint="66"/>
            <w:tcMar>
              <w:top w:w="85" w:type="dxa"/>
              <w:left w:w="0" w:type="dxa"/>
              <w:bottom w:w="85" w:type="dxa"/>
              <w:right w:w="85" w:type="dxa"/>
            </w:tcMar>
            <w:vAlign w:val="bottom"/>
          </w:tcPr>
          <w:p w:rsidR="00FA6C41" w:rsidRPr="00395C65" w:rsidRDefault="00FA6C41" w:rsidP="00AE7496">
            <w:pPr>
              <w:widowControl w:val="0"/>
              <w:suppressAutoHyphens/>
              <w:autoSpaceDE w:val="0"/>
              <w:autoSpaceDN w:val="0"/>
              <w:adjustRightInd w:val="0"/>
              <w:spacing w:before="227" w:line="210" w:lineRule="atLeast"/>
              <w:textAlignment w:val="center"/>
              <w:rPr>
                <w:rFonts w:ascii="SamoSansPro-Medium" w:hAnsi="SamoSansPro-Medium" w:cs="SamoSansPro-Medium"/>
                <w:szCs w:val="22"/>
                <w:lang w:val="en-GB"/>
              </w:rPr>
            </w:pPr>
            <w:r w:rsidRPr="00395C65">
              <w:rPr>
                <w:rFonts w:ascii="SamoSansPro-Medium" w:hAnsi="SamoSansPro-Medium" w:cs="SamoSansPro-Medium"/>
                <w:szCs w:val="22"/>
                <w:lang w:val="en-GB"/>
              </w:rPr>
              <w:t> </w:t>
            </w:r>
          </w:p>
        </w:tc>
        <w:tc>
          <w:tcPr>
            <w:tcW w:w="623" w:type="pct"/>
            <w:shd w:val="clear" w:color="auto" w:fill="B8CCE4" w:themeFill="accent1" w:themeFillTint="66"/>
            <w:tcMar>
              <w:top w:w="85" w:type="dxa"/>
              <w:left w:w="0" w:type="dxa"/>
              <w:bottom w:w="85" w:type="dxa"/>
              <w:right w:w="85" w:type="dxa"/>
            </w:tcMar>
            <w:vAlign w:val="bottom"/>
          </w:tcPr>
          <w:p w:rsidR="00FA6C41" w:rsidRPr="00395C65" w:rsidRDefault="00FA6C41" w:rsidP="00D21D48">
            <w:pPr>
              <w:widowControl w:val="0"/>
              <w:suppressAutoHyphens/>
              <w:autoSpaceDE w:val="0"/>
              <w:autoSpaceDN w:val="0"/>
              <w:adjustRightInd w:val="0"/>
              <w:spacing w:before="227" w:line="210" w:lineRule="atLeast"/>
              <w:jc w:val="right"/>
              <w:textAlignment w:val="center"/>
              <w:rPr>
                <w:rFonts w:ascii="SamoSansPro-Medium" w:hAnsi="SamoSansPro-Medium" w:cs="SamoSansPro-Medium"/>
                <w:szCs w:val="22"/>
                <w:lang w:val="en-GB"/>
              </w:rPr>
            </w:pPr>
            <w:r w:rsidRPr="00395C65">
              <w:rPr>
                <w:rFonts w:ascii="SamoSansPro-Medium" w:hAnsi="SamoSansPro-Medium" w:cs="SamoSansPro-Medium"/>
                <w:szCs w:val="22"/>
                <w:lang w:val="en-GB"/>
              </w:rPr>
              <w:t>Male</w:t>
            </w:r>
          </w:p>
        </w:tc>
        <w:tc>
          <w:tcPr>
            <w:tcW w:w="530" w:type="pct"/>
            <w:shd w:val="clear" w:color="auto" w:fill="B8CCE4" w:themeFill="accent1" w:themeFillTint="66"/>
            <w:tcMar>
              <w:top w:w="85" w:type="dxa"/>
              <w:left w:w="0" w:type="dxa"/>
              <w:bottom w:w="85" w:type="dxa"/>
              <w:right w:w="85" w:type="dxa"/>
            </w:tcMar>
            <w:vAlign w:val="bottom"/>
          </w:tcPr>
          <w:p w:rsidR="00FA6C41" w:rsidRPr="00395C65" w:rsidRDefault="00FA6C41" w:rsidP="00D21D48">
            <w:pPr>
              <w:widowControl w:val="0"/>
              <w:suppressAutoHyphens/>
              <w:autoSpaceDE w:val="0"/>
              <w:autoSpaceDN w:val="0"/>
              <w:adjustRightInd w:val="0"/>
              <w:spacing w:before="227" w:line="210" w:lineRule="atLeast"/>
              <w:jc w:val="right"/>
              <w:textAlignment w:val="center"/>
              <w:rPr>
                <w:rFonts w:ascii="SamoSansPro-Medium" w:hAnsi="SamoSansPro-Medium" w:cs="SamoSansPro-Medium"/>
                <w:szCs w:val="22"/>
                <w:lang w:val="en-GB"/>
              </w:rPr>
            </w:pPr>
            <w:r w:rsidRPr="00395C65">
              <w:rPr>
                <w:rFonts w:ascii="SamoSansPro-Medium" w:hAnsi="SamoSansPro-Medium" w:cs="SamoSansPro-Medium"/>
                <w:szCs w:val="22"/>
                <w:lang w:val="en-GB"/>
              </w:rPr>
              <w:t>Female</w:t>
            </w:r>
          </w:p>
        </w:tc>
        <w:tc>
          <w:tcPr>
            <w:tcW w:w="624" w:type="pct"/>
            <w:shd w:val="clear" w:color="auto" w:fill="B8CCE4" w:themeFill="accent1" w:themeFillTint="66"/>
            <w:tcMar>
              <w:top w:w="85" w:type="dxa"/>
              <w:left w:w="0" w:type="dxa"/>
              <w:bottom w:w="85" w:type="dxa"/>
              <w:right w:w="85" w:type="dxa"/>
            </w:tcMar>
            <w:vAlign w:val="bottom"/>
          </w:tcPr>
          <w:p w:rsidR="00FA6C41" w:rsidRPr="00395C65" w:rsidRDefault="00FA6C41" w:rsidP="00AE7496">
            <w:pPr>
              <w:widowControl w:val="0"/>
              <w:suppressAutoHyphens/>
              <w:autoSpaceDE w:val="0"/>
              <w:autoSpaceDN w:val="0"/>
              <w:adjustRightInd w:val="0"/>
              <w:spacing w:before="227" w:line="210" w:lineRule="atLeast"/>
              <w:jc w:val="right"/>
              <w:textAlignment w:val="center"/>
              <w:rPr>
                <w:rFonts w:ascii="SamoSansPro-Medium" w:hAnsi="SamoSansPro-Medium" w:cs="SamoSansPro-Medium"/>
                <w:szCs w:val="22"/>
                <w:lang w:val="en-GB"/>
              </w:rPr>
            </w:pPr>
            <w:r w:rsidRPr="00395C65">
              <w:rPr>
                <w:rFonts w:ascii="SamoSansPro-Medium" w:hAnsi="SamoSansPro-Medium" w:cs="SamoSansPro-Medium"/>
                <w:szCs w:val="22"/>
                <w:lang w:val="en-GB"/>
              </w:rPr>
              <w:t>Ongoing</w:t>
            </w:r>
          </w:p>
        </w:tc>
        <w:tc>
          <w:tcPr>
            <w:tcW w:w="745" w:type="pct"/>
            <w:shd w:val="clear" w:color="auto" w:fill="B8CCE4" w:themeFill="accent1" w:themeFillTint="66"/>
            <w:tcMar>
              <w:top w:w="85" w:type="dxa"/>
              <w:left w:w="0" w:type="dxa"/>
              <w:bottom w:w="85" w:type="dxa"/>
              <w:right w:w="85" w:type="dxa"/>
            </w:tcMar>
            <w:vAlign w:val="bottom"/>
          </w:tcPr>
          <w:p w:rsidR="00FA6C41" w:rsidRPr="00395C65" w:rsidRDefault="00FA6C41" w:rsidP="00AE7496">
            <w:pPr>
              <w:widowControl w:val="0"/>
              <w:suppressAutoHyphens/>
              <w:autoSpaceDE w:val="0"/>
              <w:autoSpaceDN w:val="0"/>
              <w:adjustRightInd w:val="0"/>
              <w:spacing w:before="227" w:line="210" w:lineRule="atLeast"/>
              <w:jc w:val="right"/>
              <w:textAlignment w:val="center"/>
              <w:rPr>
                <w:rFonts w:ascii="SamoSansPro-Medium" w:hAnsi="SamoSansPro-Medium" w:cs="SamoSansPro-Medium"/>
                <w:szCs w:val="22"/>
                <w:lang w:val="en-GB"/>
              </w:rPr>
            </w:pPr>
            <w:r w:rsidRPr="00395C65">
              <w:rPr>
                <w:rFonts w:ascii="SamoSansPro-Medium" w:hAnsi="SamoSansPro-Medium" w:cs="SamoSansPro-Medium"/>
                <w:szCs w:val="22"/>
                <w:lang w:val="en-GB"/>
              </w:rPr>
              <w:t>Non</w:t>
            </w:r>
            <w:r w:rsidRPr="00395C65">
              <w:rPr>
                <w:rFonts w:ascii="Monaco" w:hAnsi="Monaco" w:cs="Monaco"/>
                <w:szCs w:val="22"/>
                <w:lang w:val="en-GB"/>
              </w:rPr>
              <w:t>‑</w:t>
            </w:r>
            <w:r w:rsidRPr="00395C65">
              <w:rPr>
                <w:rFonts w:ascii="SamoSansPro-Medium" w:hAnsi="SamoSansPro-Medium" w:cs="SamoSansPro-Medium"/>
                <w:szCs w:val="22"/>
                <w:lang w:val="en-GB"/>
              </w:rPr>
              <w:br/>
              <w:t>ongoing</w:t>
            </w:r>
          </w:p>
        </w:tc>
        <w:tc>
          <w:tcPr>
            <w:tcW w:w="583" w:type="pct"/>
            <w:shd w:val="clear" w:color="auto" w:fill="B8CCE4" w:themeFill="accent1" w:themeFillTint="66"/>
            <w:tcMar>
              <w:top w:w="85" w:type="dxa"/>
              <w:left w:w="0" w:type="dxa"/>
              <w:bottom w:w="85" w:type="dxa"/>
              <w:right w:w="85" w:type="dxa"/>
            </w:tcMar>
            <w:vAlign w:val="bottom"/>
          </w:tcPr>
          <w:p w:rsidR="00FA6C41" w:rsidRPr="00395C65" w:rsidRDefault="00FA6C41" w:rsidP="00AE7496">
            <w:pPr>
              <w:widowControl w:val="0"/>
              <w:suppressAutoHyphens/>
              <w:autoSpaceDE w:val="0"/>
              <w:autoSpaceDN w:val="0"/>
              <w:adjustRightInd w:val="0"/>
              <w:spacing w:before="227" w:line="210" w:lineRule="atLeast"/>
              <w:jc w:val="right"/>
              <w:textAlignment w:val="center"/>
              <w:rPr>
                <w:rFonts w:ascii="SamoSansPro-Medium" w:hAnsi="SamoSansPro-Medium" w:cs="SamoSansPro-Medium"/>
                <w:szCs w:val="22"/>
                <w:lang w:val="en-GB"/>
              </w:rPr>
            </w:pPr>
            <w:r w:rsidRPr="00395C65">
              <w:rPr>
                <w:rFonts w:ascii="SamoSansPro-Medium" w:hAnsi="SamoSansPro-Medium" w:cs="SamoSansPro-Medium"/>
                <w:szCs w:val="22"/>
                <w:lang w:val="en-GB"/>
              </w:rPr>
              <w:t>Full</w:t>
            </w:r>
            <w:r w:rsidRPr="00395C65">
              <w:rPr>
                <w:rFonts w:ascii="Monaco" w:hAnsi="Monaco" w:cs="Monaco"/>
                <w:szCs w:val="22"/>
                <w:lang w:val="en-GB"/>
              </w:rPr>
              <w:t>‑</w:t>
            </w:r>
            <w:r w:rsidRPr="00395C65">
              <w:rPr>
                <w:rFonts w:ascii="SamoSansPro-Medium" w:hAnsi="SamoSansPro-Medium" w:cs="SamoSansPro-Medium"/>
                <w:szCs w:val="22"/>
                <w:lang w:val="en-GB"/>
              </w:rPr>
              <w:t>time</w:t>
            </w:r>
          </w:p>
        </w:tc>
        <w:tc>
          <w:tcPr>
            <w:tcW w:w="652" w:type="pct"/>
            <w:shd w:val="clear" w:color="auto" w:fill="B8CCE4" w:themeFill="accent1" w:themeFillTint="66"/>
            <w:tcMar>
              <w:top w:w="85" w:type="dxa"/>
              <w:left w:w="0" w:type="dxa"/>
              <w:bottom w:w="85" w:type="dxa"/>
              <w:right w:w="85" w:type="dxa"/>
            </w:tcMar>
            <w:vAlign w:val="bottom"/>
          </w:tcPr>
          <w:p w:rsidR="00FA6C41" w:rsidRPr="00395C65" w:rsidRDefault="00FA6C41" w:rsidP="00AE7496">
            <w:pPr>
              <w:widowControl w:val="0"/>
              <w:suppressAutoHyphens/>
              <w:autoSpaceDE w:val="0"/>
              <w:autoSpaceDN w:val="0"/>
              <w:adjustRightInd w:val="0"/>
              <w:spacing w:before="227" w:line="210" w:lineRule="atLeast"/>
              <w:jc w:val="right"/>
              <w:textAlignment w:val="center"/>
              <w:rPr>
                <w:rFonts w:ascii="SamoSansPro-Medium" w:hAnsi="SamoSansPro-Medium" w:cs="SamoSansPro-Medium"/>
                <w:szCs w:val="22"/>
                <w:lang w:val="en-GB"/>
              </w:rPr>
            </w:pPr>
            <w:r w:rsidRPr="00395C65">
              <w:rPr>
                <w:rFonts w:ascii="SamoSansPro-Medium" w:hAnsi="SamoSansPro-Medium" w:cs="SamoSansPro-Medium"/>
                <w:szCs w:val="22"/>
                <w:lang w:val="en-GB"/>
              </w:rPr>
              <w:t>Part</w:t>
            </w:r>
            <w:r w:rsidRPr="00395C65">
              <w:rPr>
                <w:rFonts w:ascii="Monaco" w:hAnsi="Monaco" w:cs="Monaco"/>
                <w:szCs w:val="22"/>
                <w:lang w:val="en-GB"/>
              </w:rPr>
              <w:t>‑</w:t>
            </w:r>
            <w:r w:rsidRPr="00395C65">
              <w:rPr>
                <w:rFonts w:ascii="SamoSansPro-Medium" w:hAnsi="SamoSansPro-Medium" w:cs="SamoSansPro-Medium"/>
                <w:szCs w:val="22"/>
                <w:lang w:val="en-GB"/>
              </w:rPr>
              <w:t>time</w:t>
            </w:r>
          </w:p>
        </w:tc>
        <w:tc>
          <w:tcPr>
            <w:tcW w:w="393" w:type="pct"/>
            <w:shd w:val="clear" w:color="auto" w:fill="B8CCE4" w:themeFill="accent1" w:themeFillTint="66"/>
            <w:tcMar>
              <w:top w:w="85" w:type="dxa"/>
              <w:left w:w="0" w:type="dxa"/>
              <w:bottom w:w="85" w:type="dxa"/>
              <w:right w:w="85" w:type="dxa"/>
            </w:tcMar>
            <w:vAlign w:val="bottom"/>
          </w:tcPr>
          <w:p w:rsidR="00FA6C41" w:rsidRPr="00395C65" w:rsidRDefault="00FA6C41" w:rsidP="00AE7496">
            <w:pPr>
              <w:widowControl w:val="0"/>
              <w:suppressAutoHyphens/>
              <w:autoSpaceDE w:val="0"/>
              <w:autoSpaceDN w:val="0"/>
              <w:adjustRightInd w:val="0"/>
              <w:spacing w:before="227" w:line="210" w:lineRule="atLeast"/>
              <w:jc w:val="right"/>
              <w:textAlignment w:val="center"/>
              <w:rPr>
                <w:rFonts w:ascii="SamoSansPro-Medium" w:hAnsi="SamoSansPro-Medium" w:cs="SamoSansPro-Medium"/>
                <w:szCs w:val="22"/>
                <w:lang w:val="en-GB"/>
              </w:rPr>
            </w:pPr>
            <w:r w:rsidRPr="00395C65">
              <w:rPr>
                <w:rFonts w:ascii="SamoSansPro-Medium" w:hAnsi="SamoSansPro-Medium" w:cs="SamoSansPro-Medium"/>
                <w:szCs w:val="22"/>
                <w:lang w:val="en-GB"/>
              </w:rPr>
              <w:t> </w:t>
            </w:r>
          </w:p>
        </w:tc>
      </w:tr>
      <w:tr w:rsidR="00FA6C41" w:rsidRPr="00FA6C41">
        <w:trPr>
          <w:trHeight w:val="300"/>
        </w:trPr>
        <w:tc>
          <w:tcPr>
            <w:tcW w:w="850"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textAlignment w:val="center"/>
              <w:rPr>
                <w:rFonts w:cs="SamoSansPro-Light"/>
                <w:color w:val="000000"/>
                <w:szCs w:val="22"/>
                <w:lang w:val="en-GB"/>
              </w:rPr>
            </w:pPr>
            <w:r w:rsidRPr="00D21D48">
              <w:rPr>
                <w:rFonts w:cs="SamoSansPro-Light"/>
                <w:color w:val="000000"/>
                <w:szCs w:val="22"/>
                <w:lang w:val="en-GB"/>
              </w:rPr>
              <w:t>SES Band 1</w:t>
            </w:r>
          </w:p>
        </w:tc>
        <w:tc>
          <w:tcPr>
            <w:tcW w:w="623"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530"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624"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745"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58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652"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39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r>
      <w:tr w:rsidR="00FA6C41" w:rsidRPr="00FA6C41">
        <w:trPr>
          <w:trHeight w:val="300"/>
        </w:trPr>
        <w:tc>
          <w:tcPr>
            <w:tcW w:w="850"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textAlignment w:val="center"/>
              <w:rPr>
                <w:rFonts w:cs="SamoSansPro-Light"/>
                <w:color w:val="000000"/>
                <w:szCs w:val="22"/>
                <w:lang w:val="en-GB"/>
              </w:rPr>
            </w:pPr>
            <w:r w:rsidRPr="00D21D48">
              <w:rPr>
                <w:rFonts w:cs="SamoSansPro-Light"/>
                <w:color w:val="000000"/>
                <w:szCs w:val="22"/>
                <w:lang w:val="en-GB"/>
              </w:rPr>
              <w:t>EL 2</w:t>
            </w:r>
          </w:p>
        </w:tc>
        <w:tc>
          <w:tcPr>
            <w:tcW w:w="623"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530"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624"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c>
          <w:tcPr>
            <w:tcW w:w="745"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58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c>
          <w:tcPr>
            <w:tcW w:w="652"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39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r>
      <w:tr w:rsidR="00FA6C41" w:rsidRPr="00FA6C41">
        <w:trPr>
          <w:trHeight w:val="300"/>
        </w:trPr>
        <w:tc>
          <w:tcPr>
            <w:tcW w:w="850"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textAlignment w:val="center"/>
              <w:rPr>
                <w:rFonts w:cs="SamoSansPro-Light"/>
                <w:color w:val="000000"/>
                <w:szCs w:val="22"/>
                <w:lang w:val="en-GB"/>
              </w:rPr>
            </w:pPr>
            <w:r w:rsidRPr="00D21D48">
              <w:rPr>
                <w:rFonts w:cs="SamoSansPro-Light"/>
                <w:color w:val="000000"/>
                <w:szCs w:val="22"/>
                <w:lang w:val="en-GB"/>
              </w:rPr>
              <w:t>EL 1</w:t>
            </w:r>
          </w:p>
        </w:tc>
        <w:tc>
          <w:tcPr>
            <w:tcW w:w="623"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530"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5</w:t>
            </w:r>
          </w:p>
        </w:tc>
        <w:tc>
          <w:tcPr>
            <w:tcW w:w="624"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6</w:t>
            </w:r>
          </w:p>
        </w:tc>
        <w:tc>
          <w:tcPr>
            <w:tcW w:w="745"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58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5</w:t>
            </w:r>
          </w:p>
        </w:tc>
        <w:tc>
          <w:tcPr>
            <w:tcW w:w="652"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39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6</w:t>
            </w:r>
          </w:p>
        </w:tc>
      </w:tr>
      <w:tr w:rsidR="00FA6C41" w:rsidRPr="00FA6C41">
        <w:trPr>
          <w:trHeight w:val="300"/>
        </w:trPr>
        <w:tc>
          <w:tcPr>
            <w:tcW w:w="850"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textAlignment w:val="center"/>
              <w:rPr>
                <w:rFonts w:cs="SamoSansPro-Light"/>
                <w:color w:val="000000"/>
                <w:szCs w:val="22"/>
                <w:lang w:val="en-GB"/>
              </w:rPr>
            </w:pPr>
            <w:r w:rsidRPr="00D21D48">
              <w:rPr>
                <w:rFonts w:cs="SamoSansPro-Light"/>
                <w:color w:val="000000"/>
                <w:szCs w:val="22"/>
                <w:lang w:val="en-GB"/>
              </w:rPr>
              <w:t>APS 6</w:t>
            </w:r>
          </w:p>
        </w:tc>
        <w:tc>
          <w:tcPr>
            <w:tcW w:w="623"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530"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624"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c>
          <w:tcPr>
            <w:tcW w:w="745"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58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c>
          <w:tcPr>
            <w:tcW w:w="652"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39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r>
      <w:tr w:rsidR="00FA6C41" w:rsidRPr="00FA6C41">
        <w:trPr>
          <w:trHeight w:val="300"/>
        </w:trPr>
        <w:tc>
          <w:tcPr>
            <w:tcW w:w="850"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textAlignment w:val="center"/>
              <w:rPr>
                <w:rFonts w:cs="SamoSansPro-Light"/>
                <w:color w:val="000000"/>
                <w:szCs w:val="22"/>
                <w:lang w:val="en-GB"/>
              </w:rPr>
            </w:pPr>
            <w:r w:rsidRPr="00D21D48">
              <w:rPr>
                <w:rFonts w:cs="SamoSansPro-Light"/>
                <w:color w:val="000000"/>
                <w:szCs w:val="22"/>
                <w:lang w:val="en-GB"/>
              </w:rPr>
              <w:t>APS 5</w:t>
            </w:r>
          </w:p>
        </w:tc>
        <w:tc>
          <w:tcPr>
            <w:tcW w:w="623"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530"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c>
          <w:tcPr>
            <w:tcW w:w="624"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c>
          <w:tcPr>
            <w:tcW w:w="745"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58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652"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39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r>
      <w:tr w:rsidR="00FA6C41" w:rsidRPr="00FA6C41">
        <w:trPr>
          <w:trHeight w:val="300"/>
        </w:trPr>
        <w:tc>
          <w:tcPr>
            <w:tcW w:w="850"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textAlignment w:val="center"/>
              <w:rPr>
                <w:rFonts w:cs="SamoSansPro-Light"/>
                <w:color w:val="000000"/>
                <w:szCs w:val="22"/>
                <w:lang w:val="en-GB"/>
              </w:rPr>
            </w:pPr>
            <w:r w:rsidRPr="00D21D48">
              <w:rPr>
                <w:rFonts w:cs="SamoSansPro-Light"/>
                <w:color w:val="000000"/>
                <w:szCs w:val="22"/>
                <w:lang w:val="en-GB"/>
              </w:rPr>
              <w:t>APS 4</w:t>
            </w:r>
          </w:p>
        </w:tc>
        <w:tc>
          <w:tcPr>
            <w:tcW w:w="623"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530"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c>
          <w:tcPr>
            <w:tcW w:w="624"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3</w:t>
            </w:r>
          </w:p>
        </w:tc>
        <w:tc>
          <w:tcPr>
            <w:tcW w:w="745"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58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652"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c>
          <w:tcPr>
            <w:tcW w:w="39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3</w:t>
            </w:r>
          </w:p>
        </w:tc>
      </w:tr>
      <w:tr w:rsidR="00FA6C41" w:rsidRPr="00FA6C41">
        <w:trPr>
          <w:trHeight w:val="300"/>
        </w:trPr>
        <w:tc>
          <w:tcPr>
            <w:tcW w:w="850"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textAlignment w:val="center"/>
              <w:rPr>
                <w:rFonts w:cs="SamoSansPro-Light"/>
                <w:color w:val="000000"/>
                <w:szCs w:val="22"/>
                <w:lang w:val="en-GB"/>
              </w:rPr>
            </w:pPr>
            <w:r w:rsidRPr="00D21D48">
              <w:rPr>
                <w:rFonts w:cs="SamoSansPro-Light"/>
                <w:color w:val="000000"/>
                <w:szCs w:val="22"/>
                <w:lang w:val="en-GB"/>
              </w:rPr>
              <w:t>APS 3</w:t>
            </w:r>
          </w:p>
        </w:tc>
        <w:tc>
          <w:tcPr>
            <w:tcW w:w="623"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530"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624"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c>
          <w:tcPr>
            <w:tcW w:w="745"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0</w:t>
            </w:r>
          </w:p>
        </w:tc>
        <w:tc>
          <w:tcPr>
            <w:tcW w:w="58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652"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1</w:t>
            </w:r>
          </w:p>
        </w:tc>
        <w:tc>
          <w:tcPr>
            <w:tcW w:w="39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Light"/>
                <w:color w:val="000000"/>
                <w:szCs w:val="22"/>
                <w:lang w:val="en-GB"/>
              </w:rPr>
              <w:t>2</w:t>
            </w:r>
          </w:p>
        </w:tc>
      </w:tr>
      <w:tr w:rsidR="00FA6C41" w:rsidRPr="00FA6C41">
        <w:trPr>
          <w:trHeight w:val="300"/>
        </w:trPr>
        <w:tc>
          <w:tcPr>
            <w:tcW w:w="850"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textAlignment w:val="center"/>
              <w:rPr>
                <w:rFonts w:cs="SamoSansPro-Light"/>
                <w:color w:val="000000"/>
                <w:szCs w:val="22"/>
                <w:lang w:val="en-GB"/>
              </w:rPr>
            </w:pPr>
            <w:r w:rsidRPr="00D21D48">
              <w:rPr>
                <w:rFonts w:cs="SamoSansPro-Medium"/>
                <w:color w:val="000000"/>
                <w:szCs w:val="22"/>
                <w:lang w:val="en-GB"/>
              </w:rPr>
              <w:t>Total</w:t>
            </w:r>
          </w:p>
        </w:tc>
        <w:tc>
          <w:tcPr>
            <w:tcW w:w="623"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Medium"/>
                <w:color w:val="000000"/>
                <w:szCs w:val="22"/>
                <w:lang w:val="en-GB"/>
              </w:rPr>
              <w:t>5</w:t>
            </w:r>
          </w:p>
        </w:tc>
        <w:tc>
          <w:tcPr>
            <w:tcW w:w="530" w:type="pct"/>
            <w:shd w:val="clear" w:color="auto" w:fill="auto"/>
            <w:tcMar>
              <w:top w:w="85" w:type="dxa"/>
              <w:left w:w="85" w:type="dxa"/>
              <w:bottom w:w="85" w:type="dxa"/>
              <w:right w:w="85" w:type="dxa"/>
            </w:tcMar>
            <w:vAlign w:val="bottom"/>
          </w:tcPr>
          <w:p w:rsidR="00FA6C41" w:rsidRPr="00D21D48" w:rsidRDefault="00FA6C41" w:rsidP="00D21D48">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Medium"/>
                <w:color w:val="000000"/>
                <w:szCs w:val="22"/>
                <w:lang w:val="en-GB"/>
              </w:rPr>
              <w:t>13</w:t>
            </w:r>
          </w:p>
        </w:tc>
        <w:tc>
          <w:tcPr>
            <w:tcW w:w="624"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Medium"/>
                <w:color w:val="000000"/>
                <w:szCs w:val="22"/>
                <w:lang w:val="en-GB"/>
              </w:rPr>
              <w:t>18</w:t>
            </w:r>
          </w:p>
        </w:tc>
        <w:tc>
          <w:tcPr>
            <w:tcW w:w="745"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Medium"/>
                <w:color w:val="000000"/>
                <w:szCs w:val="22"/>
                <w:lang w:val="en-GB"/>
              </w:rPr>
              <w:t>0</w:t>
            </w:r>
          </w:p>
        </w:tc>
        <w:tc>
          <w:tcPr>
            <w:tcW w:w="58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Medium"/>
                <w:color w:val="000000"/>
                <w:szCs w:val="22"/>
                <w:lang w:val="en-GB"/>
              </w:rPr>
              <w:t>13</w:t>
            </w:r>
          </w:p>
        </w:tc>
        <w:tc>
          <w:tcPr>
            <w:tcW w:w="652"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Medium"/>
                <w:color w:val="000000"/>
                <w:szCs w:val="22"/>
                <w:lang w:val="en-GB"/>
              </w:rPr>
              <w:t>5</w:t>
            </w:r>
          </w:p>
        </w:tc>
        <w:tc>
          <w:tcPr>
            <w:tcW w:w="393" w:type="pct"/>
            <w:shd w:val="clear" w:color="auto" w:fill="auto"/>
            <w:tcMar>
              <w:top w:w="85" w:type="dxa"/>
              <w:left w:w="85" w:type="dxa"/>
              <w:bottom w:w="85" w:type="dxa"/>
              <w:right w:w="85" w:type="dxa"/>
            </w:tcMar>
            <w:vAlign w:val="bottom"/>
          </w:tcPr>
          <w:p w:rsidR="00FA6C41" w:rsidRPr="00D21D48" w:rsidRDefault="00FA6C41" w:rsidP="00AE7496">
            <w:pPr>
              <w:widowControl w:val="0"/>
              <w:suppressAutoHyphens/>
              <w:autoSpaceDE w:val="0"/>
              <w:autoSpaceDN w:val="0"/>
              <w:adjustRightInd w:val="0"/>
              <w:spacing w:before="57" w:after="57" w:line="210" w:lineRule="atLeast"/>
              <w:jc w:val="right"/>
              <w:textAlignment w:val="center"/>
              <w:rPr>
                <w:rFonts w:cs="SamoSansPro-Light"/>
                <w:color w:val="000000"/>
                <w:szCs w:val="22"/>
                <w:lang w:val="en-GB"/>
              </w:rPr>
            </w:pPr>
            <w:r w:rsidRPr="00D21D48">
              <w:rPr>
                <w:rFonts w:cs="SamoSansPro-Medium"/>
                <w:color w:val="000000"/>
                <w:szCs w:val="22"/>
                <w:lang w:val="en-GB"/>
              </w:rPr>
              <w:t>18</w:t>
            </w:r>
          </w:p>
        </w:tc>
      </w:tr>
    </w:tbl>
    <w:p w:rsidR="00FA6C41" w:rsidRPr="00FA6C41" w:rsidRDefault="00FA6C41" w:rsidP="00CD075F">
      <w:pPr>
        <w:pStyle w:val="tablenotes"/>
      </w:pPr>
      <w:r w:rsidRPr="00FA6C41">
        <w:t xml:space="preserve">SES = Senior Executive Service; EL = Executive Level; APS = Australian Public Service </w:t>
      </w:r>
    </w:p>
    <w:p w:rsidR="00AE7496" w:rsidRDefault="00AE7496" w:rsidP="00CD075F">
      <w:pPr>
        <w:pStyle w:val="tabletitle"/>
      </w:pPr>
    </w:p>
    <w:p w:rsidR="00FA6C41" w:rsidRPr="00FA6C41" w:rsidRDefault="00FA6C41" w:rsidP="00CD075F">
      <w:pPr>
        <w:pStyle w:val="tabletitle"/>
      </w:pPr>
      <w:r w:rsidRPr="00FA6C41">
        <w:t>Table 6: Actual PSR staff numbers, at 30 June 2012–13 and 2013–14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46"/>
        <w:gridCol w:w="3546"/>
        <w:gridCol w:w="3544"/>
      </w:tblGrid>
      <w:tr w:rsidR="00FA6C41" w:rsidRPr="00FA6C41">
        <w:trPr>
          <w:trHeight w:val="300"/>
        </w:trPr>
        <w:tc>
          <w:tcPr>
            <w:tcW w:w="1667"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jc w:val="right"/>
              <w:rPr>
                <w:color w:val="FFFFFF" w:themeColor="background1"/>
              </w:rPr>
            </w:pPr>
          </w:p>
        </w:tc>
        <w:tc>
          <w:tcPr>
            <w:tcW w:w="1667"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jc w:val="right"/>
              <w:rPr>
                <w:rFonts w:ascii="SamoSansPro-Medium" w:hAnsi="SamoSansPro-Medium" w:cs="SamoSansPro-Medium"/>
                <w:color w:val="FFFFFF" w:themeColor="background1"/>
              </w:rPr>
            </w:pPr>
            <w:r w:rsidRPr="00D21D48">
              <w:rPr>
                <w:rFonts w:ascii="SamoSansPro-Medium" w:hAnsi="SamoSansPro-Medium" w:cs="SamoSansPro-Medium"/>
                <w:color w:val="FFFFFF" w:themeColor="background1"/>
              </w:rPr>
              <w:t xml:space="preserve">2012–13 </w:t>
            </w:r>
          </w:p>
        </w:tc>
        <w:tc>
          <w:tcPr>
            <w:tcW w:w="1666"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jc w:val="right"/>
              <w:rPr>
                <w:rFonts w:ascii="SamoSansPro-Medium" w:hAnsi="SamoSansPro-Medium" w:cs="SamoSansPro-Medium"/>
                <w:color w:val="FFFFFF" w:themeColor="background1"/>
              </w:rPr>
            </w:pPr>
            <w:r w:rsidRPr="00D21D48">
              <w:rPr>
                <w:rFonts w:ascii="SamoSansPro-Medium" w:hAnsi="SamoSansPro-Medium" w:cs="SamoSansPro-Medium"/>
                <w:color w:val="FFFFFF" w:themeColor="background1"/>
              </w:rPr>
              <w:t>2013–14</w:t>
            </w:r>
          </w:p>
        </w:tc>
      </w:tr>
      <w:tr w:rsidR="00FA6C41" w:rsidRPr="00FA6C41">
        <w:trPr>
          <w:trHeight w:val="300"/>
        </w:trPr>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FTE</w:t>
            </w:r>
          </w:p>
        </w:tc>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14.94</w:t>
            </w:r>
          </w:p>
        </w:tc>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15.41</w:t>
            </w:r>
          </w:p>
        </w:tc>
      </w:tr>
      <w:tr w:rsidR="00FA6C41" w:rsidRPr="00FA6C41">
        <w:trPr>
          <w:trHeight w:val="300"/>
        </w:trPr>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Average staffing level</w:t>
            </w:r>
          </w:p>
        </w:tc>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23.75</w:t>
            </w:r>
          </w:p>
        </w:tc>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18</w:t>
            </w:r>
          </w:p>
        </w:tc>
      </w:tr>
    </w:tbl>
    <w:p w:rsidR="00FA6C41" w:rsidRPr="00FA6C41" w:rsidRDefault="00FA6C41" w:rsidP="00CD075F">
      <w:pPr>
        <w:pStyle w:val="tablenotes"/>
      </w:pPr>
      <w:r w:rsidRPr="00FA6C41">
        <w:t>FTE = full</w:t>
      </w:r>
      <w:r w:rsidRPr="00FA6C41">
        <w:rPr>
          <w:rFonts w:ascii="Monaco" w:hAnsi="Monaco" w:cs="Monaco"/>
        </w:rPr>
        <w:t>‑</w:t>
      </w:r>
      <w:r w:rsidRPr="00FA6C41">
        <w:t>time equivalent</w:t>
      </w:r>
    </w:p>
    <w:p w:rsidR="00CD075F" w:rsidRDefault="00CD075F" w:rsidP="00FA6C41">
      <w:pPr>
        <w:rPr>
          <w:lang w:val="en-GB"/>
        </w:rPr>
      </w:pPr>
    </w:p>
    <w:p w:rsidR="00FA6C41" w:rsidRPr="00FA6C41" w:rsidRDefault="00FA6C41" w:rsidP="00D21D48">
      <w:pPr>
        <w:pStyle w:val="bodytext"/>
      </w:pPr>
      <w:r w:rsidRPr="00FA6C41">
        <w:t>There were no PSR employees who did not speak English as their first language; 27 per cent had parents who did not speak English as their first language. PSR had no employees who identified as Aboriginal or Torres Strait Islander. PSR had no employees with an identified disability.</w:t>
      </w:r>
    </w:p>
    <w:p w:rsidR="00FA6C41" w:rsidRPr="00D21D48" w:rsidRDefault="00FA6C41" w:rsidP="00D21D48">
      <w:pPr>
        <w:pStyle w:val="bodytext"/>
        <w:rPr>
          <w:rFonts w:ascii="ArialNarrow" w:hAnsi="ArialNarrow" w:cs="ArialNarrow"/>
          <w:lang w:val="en-AU"/>
        </w:rPr>
      </w:pPr>
      <w:r w:rsidRPr="00FA6C41">
        <w:t xml:space="preserve">During 2013–14, PSR recruited two ongoing employees. </w:t>
      </w:r>
      <w:proofErr w:type="gramStart"/>
      <w:r w:rsidRPr="00FA6C41">
        <w:t>Three employees left PSR through resignation, retirement, and transfer or contract expiry.</w:t>
      </w:r>
      <w:proofErr w:type="gramEnd"/>
    </w:p>
    <w:p w:rsidR="00FA6C41" w:rsidRPr="00FA6C41" w:rsidRDefault="00FA6C41" w:rsidP="00AE7496">
      <w:pPr>
        <w:pStyle w:val="Heading3"/>
        <w:rPr>
          <w:lang w:val="en-GB"/>
        </w:rPr>
      </w:pPr>
      <w:bookmarkStart w:id="157" w:name="_Toc275439497"/>
      <w:bookmarkStart w:id="158" w:name="_Toc276039593"/>
      <w:bookmarkStart w:id="159" w:name="_Toc276039957"/>
      <w:bookmarkStart w:id="160" w:name="_Toc276040199"/>
      <w:r w:rsidRPr="00FA6C41">
        <w:rPr>
          <w:lang w:val="en-AU"/>
        </w:rPr>
        <w:t>Enterprise agreement and Australian workplace agreements</w:t>
      </w:r>
      <w:bookmarkEnd w:id="157"/>
      <w:bookmarkEnd w:id="158"/>
      <w:bookmarkEnd w:id="159"/>
      <w:bookmarkEnd w:id="160"/>
    </w:p>
    <w:p w:rsidR="00FA6C41" w:rsidRPr="00FA6C41" w:rsidRDefault="00FA6C41" w:rsidP="00D21D48">
      <w:pPr>
        <w:pStyle w:val="bodytext"/>
      </w:pPr>
      <w:r w:rsidRPr="00FA6C41">
        <w:t xml:space="preserve">At 30 June 2014, the </w:t>
      </w:r>
      <w:proofErr w:type="gramStart"/>
      <w:r w:rsidRPr="00FA6C41">
        <w:t>pay and conditions of all APS and Executive Level employees were governed by the PSR Enterprise Agreement 2012–14</w:t>
      </w:r>
      <w:proofErr w:type="gramEnd"/>
      <w:r w:rsidRPr="00FA6C41">
        <w:t>. The pay and conditions of PSR’s Senior Executive Service (SES) officer were governed by an SES employment policy and contract. Table 7 lists PSR salary ranges by classification.</w:t>
      </w:r>
    </w:p>
    <w:p w:rsidR="00FA6C41" w:rsidRPr="00FA6C41" w:rsidRDefault="00FA6C41" w:rsidP="00CD075F">
      <w:pPr>
        <w:pStyle w:val="tabletitle"/>
      </w:pPr>
      <w:r w:rsidRPr="00FA6C41">
        <w:t>Table 7: PSR salary ranges by classification at 1 July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45"/>
        <w:gridCol w:w="3547"/>
        <w:gridCol w:w="3544"/>
      </w:tblGrid>
      <w:tr w:rsidR="00FA6C41" w:rsidRPr="00FA6C41">
        <w:trPr>
          <w:trHeight w:val="300"/>
        </w:trPr>
        <w:tc>
          <w:tcPr>
            <w:tcW w:w="1666"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rPr>
                <w:color w:val="FFFFFF" w:themeColor="background1"/>
              </w:rPr>
            </w:pPr>
            <w:r w:rsidRPr="00D21D48">
              <w:rPr>
                <w:color w:val="FFFFFF" w:themeColor="background1"/>
              </w:rPr>
              <w:t>Classification</w:t>
            </w:r>
          </w:p>
        </w:tc>
        <w:tc>
          <w:tcPr>
            <w:tcW w:w="1667"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jc w:val="right"/>
              <w:rPr>
                <w:color w:val="FFFFFF" w:themeColor="background1"/>
              </w:rPr>
            </w:pPr>
            <w:r w:rsidRPr="00D21D48">
              <w:rPr>
                <w:color w:val="FFFFFF" w:themeColor="background1"/>
              </w:rPr>
              <w:t>Minimum</w:t>
            </w:r>
          </w:p>
        </w:tc>
        <w:tc>
          <w:tcPr>
            <w:tcW w:w="1666"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jc w:val="right"/>
              <w:rPr>
                <w:color w:val="FFFFFF" w:themeColor="background1"/>
              </w:rPr>
            </w:pPr>
            <w:r w:rsidRPr="00D21D48">
              <w:rPr>
                <w:color w:val="FFFFFF" w:themeColor="background1"/>
                <w:lang w:val="en-AU"/>
              </w:rPr>
              <w:t>Maximum</w:t>
            </w:r>
          </w:p>
        </w:tc>
      </w:tr>
      <w:tr w:rsidR="00FA6C41" w:rsidRPr="00FA6C41">
        <w:trPr>
          <w:trHeight w:val="300"/>
        </w:trPr>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APS 3</w:t>
            </w:r>
          </w:p>
        </w:tc>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$55,311</w:t>
            </w:r>
          </w:p>
        </w:tc>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$61,175</w:t>
            </w:r>
          </w:p>
        </w:tc>
      </w:tr>
      <w:tr w:rsidR="00FA6C41" w:rsidRPr="00FA6C41">
        <w:trPr>
          <w:trHeight w:val="300"/>
        </w:trPr>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APS 4</w:t>
            </w:r>
          </w:p>
        </w:tc>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$62,542</w:t>
            </w:r>
          </w:p>
        </w:tc>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$67,143</w:t>
            </w:r>
          </w:p>
        </w:tc>
      </w:tr>
      <w:tr w:rsidR="00FA6C41" w:rsidRPr="00FA6C41">
        <w:trPr>
          <w:trHeight w:val="300"/>
        </w:trPr>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APS 5</w:t>
            </w:r>
          </w:p>
        </w:tc>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$68,051</w:t>
            </w:r>
          </w:p>
        </w:tc>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$71,976</w:t>
            </w:r>
          </w:p>
        </w:tc>
      </w:tr>
      <w:tr w:rsidR="00FA6C41" w:rsidRPr="00FA6C41">
        <w:trPr>
          <w:trHeight w:val="300"/>
        </w:trPr>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APS 6</w:t>
            </w:r>
          </w:p>
        </w:tc>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$75,382</w:t>
            </w:r>
          </w:p>
        </w:tc>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$88,555</w:t>
            </w:r>
          </w:p>
        </w:tc>
      </w:tr>
      <w:tr w:rsidR="00FA6C41" w:rsidRPr="00FA6C41">
        <w:trPr>
          <w:trHeight w:val="300"/>
        </w:trPr>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EL 1</w:t>
            </w:r>
          </w:p>
        </w:tc>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$95,248</w:t>
            </w:r>
          </w:p>
        </w:tc>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$106,351</w:t>
            </w:r>
          </w:p>
        </w:tc>
      </w:tr>
      <w:tr w:rsidR="00FA6C41" w:rsidRPr="00FA6C41">
        <w:trPr>
          <w:trHeight w:val="300"/>
        </w:trPr>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EL 2</w:t>
            </w:r>
          </w:p>
        </w:tc>
        <w:tc>
          <w:tcPr>
            <w:tcW w:w="1667"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$113,780</w:t>
            </w:r>
          </w:p>
        </w:tc>
        <w:tc>
          <w:tcPr>
            <w:tcW w:w="1666"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$131,953</w:t>
            </w:r>
          </w:p>
        </w:tc>
      </w:tr>
    </w:tbl>
    <w:p w:rsidR="00FA6C41" w:rsidRPr="00FA6C41" w:rsidRDefault="00FA6C41" w:rsidP="00CD075F">
      <w:pPr>
        <w:pStyle w:val="tablenotes"/>
      </w:pPr>
      <w:r w:rsidRPr="00FA6C41">
        <w:t xml:space="preserve">Note: Salary ranges are from PSR Enterprise Agreement 2012–14.  </w:t>
      </w:r>
      <w:r w:rsidRPr="00FA6C41">
        <w:br/>
        <w:t xml:space="preserve">APS = Australian Public Service; EL = Executive Level </w:t>
      </w:r>
    </w:p>
    <w:p w:rsidR="00FA6C41" w:rsidRPr="00FA6C41" w:rsidRDefault="00FA6C41" w:rsidP="00CD075F">
      <w:pPr>
        <w:pStyle w:val="Heading3"/>
        <w:rPr>
          <w:lang w:val="en-GB"/>
        </w:rPr>
      </w:pPr>
      <w:bookmarkStart w:id="161" w:name="_Toc275439498"/>
      <w:bookmarkStart w:id="162" w:name="_Toc276039594"/>
      <w:bookmarkStart w:id="163" w:name="_Toc276039958"/>
      <w:bookmarkStart w:id="164" w:name="_Toc276040200"/>
      <w:r w:rsidRPr="00FA6C41">
        <w:rPr>
          <w:lang w:val="en-GB"/>
        </w:rPr>
        <w:t>Non</w:t>
      </w:r>
      <w:r w:rsidRPr="00FA6C41">
        <w:rPr>
          <w:rFonts w:ascii="Monaco" w:hAnsi="Monaco" w:cs="Monaco"/>
          <w:lang w:val="en-GB"/>
        </w:rPr>
        <w:t>‑</w:t>
      </w:r>
      <w:r w:rsidRPr="00FA6C41">
        <w:rPr>
          <w:lang w:val="en-GB"/>
        </w:rPr>
        <w:t>salary benefits</w:t>
      </w:r>
      <w:bookmarkEnd w:id="161"/>
      <w:bookmarkEnd w:id="162"/>
      <w:bookmarkEnd w:id="163"/>
      <w:bookmarkEnd w:id="164"/>
    </w:p>
    <w:p w:rsidR="00FA6C41" w:rsidRPr="00FA6C41" w:rsidRDefault="00FA6C41" w:rsidP="00D21D48">
      <w:pPr>
        <w:pStyle w:val="bodytext"/>
      </w:pPr>
      <w:r w:rsidRPr="00FA6C41">
        <w:t>PSR provided non</w:t>
      </w:r>
      <w:r w:rsidRPr="00FA6C41">
        <w:rPr>
          <w:rFonts w:ascii="Monaco" w:hAnsi="Monaco" w:cs="Monaco"/>
        </w:rPr>
        <w:t>‑</w:t>
      </w:r>
      <w:r w:rsidRPr="00FA6C41">
        <w:t>salary benefits to attract and retain capable staff. Benefits included:</w:t>
      </w:r>
    </w:p>
    <w:p w:rsidR="00FA6C41" w:rsidRPr="00FA6C41" w:rsidRDefault="00FA6C41" w:rsidP="00FA6C41">
      <w:pPr>
        <w:pStyle w:val="ListBullet"/>
        <w:rPr>
          <w:lang w:val="en-GB"/>
        </w:rPr>
      </w:pPr>
      <w:proofErr w:type="gramStart"/>
      <w:r w:rsidRPr="00FA6C41">
        <w:rPr>
          <w:lang w:val="en-GB"/>
        </w:rPr>
        <w:t>allowance</w:t>
      </w:r>
      <w:proofErr w:type="gramEnd"/>
      <w:r w:rsidRPr="00FA6C41">
        <w:rPr>
          <w:lang w:val="en-GB"/>
        </w:rPr>
        <w:t xml:space="preserve"> for mobile phones for relevant personnel</w:t>
      </w:r>
    </w:p>
    <w:p w:rsidR="00FA6C41" w:rsidRPr="00FA6C41" w:rsidRDefault="00FA6C41" w:rsidP="00FA6C41">
      <w:pPr>
        <w:pStyle w:val="ListBullet"/>
        <w:rPr>
          <w:lang w:val="en-GB"/>
        </w:rPr>
      </w:pPr>
      <w:proofErr w:type="gramStart"/>
      <w:r w:rsidRPr="00FA6C41">
        <w:rPr>
          <w:lang w:val="en-GB"/>
        </w:rPr>
        <w:t>home</w:t>
      </w:r>
      <w:proofErr w:type="gramEnd"/>
      <w:r w:rsidRPr="00FA6C41">
        <w:rPr>
          <w:lang w:val="en-GB"/>
        </w:rPr>
        <w:t xml:space="preserve"> internet access to PSR’s information technology network </w:t>
      </w:r>
    </w:p>
    <w:p w:rsidR="00FA6C41" w:rsidRPr="00FA6C41" w:rsidRDefault="00FA6C41" w:rsidP="00FA6C41">
      <w:pPr>
        <w:pStyle w:val="ListBullet"/>
        <w:rPr>
          <w:lang w:val="en-GB"/>
        </w:rPr>
      </w:pPr>
      <w:proofErr w:type="gramStart"/>
      <w:r w:rsidRPr="00FA6C41">
        <w:rPr>
          <w:lang w:val="en-GB"/>
        </w:rPr>
        <w:t>paid</w:t>
      </w:r>
      <w:proofErr w:type="gramEnd"/>
      <w:r w:rsidRPr="00FA6C41">
        <w:rPr>
          <w:lang w:val="en-GB"/>
        </w:rPr>
        <w:t xml:space="preserve"> car parking for all employees</w:t>
      </w:r>
    </w:p>
    <w:p w:rsidR="00FA6C41" w:rsidRPr="00FA6C41" w:rsidRDefault="00FA6C41" w:rsidP="00FA6C41">
      <w:pPr>
        <w:pStyle w:val="ListBullet"/>
        <w:rPr>
          <w:lang w:val="en-GB"/>
        </w:rPr>
      </w:pPr>
      <w:proofErr w:type="gramStart"/>
      <w:r w:rsidRPr="00FA6C41">
        <w:rPr>
          <w:lang w:val="en-GB"/>
        </w:rPr>
        <w:t>flextime</w:t>
      </w:r>
      <w:proofErr w:type="gramEnd"/>
      <w:r w:rsidRPr="00FA6C41">
        <w:rPr>
          <w:lang w:val="en-GB"/>
        </w:rPr>
        <w:t xml:space="preserve"> arrangements for Executive Level 1 employees</w:t>
      </w:r>
    </w:p>
    <w:p w:rsidR="00FA6C41" w:rsidRPr="00FA6C41" w:rsidRDefault="00FA6C41" w:rsidP="00FA6C41">
      <w:pPr>
        <w:pStyle w:val="ListBullet"/>
        <w:rPr>
          <w:lang w:val="en-GB"/>
        </w:rPr>
      </w:pPr>
      <w:r w:rsidRPr="00FA6C41">
        <w:rPr>
          <w:lang w:val="en-GB"/>
        </w:rPr>
        <w:t xml:space="preserve">Qantas Club membership for employees who travel more than six times a year. </w:t>
      </w:r>
    </w:p>
    <w:p w:rsidR="00FA6C41" w:rsidRPr="00FA6C41" w:rsidRDefault="00FA6C41" w:rsidP="00CD075F">
      <w:pPr>
        <w:pStyle w:val="Heading3"/>
        <w:rPr>
          <w:lang w:val="en-GB"/>
        </w:rPr>
      </w:pPr>
      <w:bookmarkStart w:id="165" w:name="_Toc275439499"/>
      <w:bookmarkStart w:id="166" w:name="_Toc276039595"/>
      <w:bookmarkStart w:id="167" w:name="_Toc276039959"/>
      <w:bookmarkStart w:id="168" w:name="_Toc276040201"/>
      <w:r w:rsidRPr="00FA6C41">
        <w:rPr>
          <w:lang w:val="en-GB"/>
        </w:rPr>
        <w:t>Holders of full</w:t>
      </w:r>
      <w:r w:rsidRPr="00FA6C41">
        <w:rPr>
          <w:rFonts w:ascii="Monaco" w:hAnsi="Monaco" w:cs="Monaco"/>
          <w:lang w:val="en-GB"/>
        </w:rPr>
        <w:t>‑</w:t>
      </w:r>
      <w:r w:rsidRPr="00FA6C41">
        <w:rPr>
          <w:lang w:val="en-GB"/>
        </w:rPr>
        <w:t>time and part</w:t>
      </w:r>
      <w:r w:rsidRPr="00FA6C41">
        <w:rPr>
          <w:rFonts w:ascii="Monaco" w:hAnsi="Monaco" w:cs="Monaco"/>
          <w:lang w:val="en-GB"/>
        </w:rPr>
        <w:t>‑</w:t>
      </w:r>
      <w:r w:rsidRPr="00FA6C41">
        <w:rPr>
          <w:lang w:val="en-GB"/>
        </w:rPr>
        <w:t>time public office</w:t>
      </w:r>
      <w:bookmarkEnd w:id="165"/>
      <w:bookmarkEnd w:id="166"/>
      <w:bookmarkEnd w:id="167"/>
      <w:bookmarkEnd w:id="168"/>
    </w:p>
    <w:p w:rsidR="00FA6C41" w:rsidRPr="00FA6C41" w:rsidRDefault="00FA6C41" w:rsidP="00D21D48">
      <w:pPr>
        <w:pStyle w:val="bodytext"/>
      </w:pPr>
      <w:r w:rsidRPr="00FA6C41">
        <w:t>The Director of PSR is a holder of full time public office whose remuneration and allowances are set annually by the Remuneration Tribunal.</w:t>
      </w:r>
    </w:p>
    <w:p w:rsidR="00FA6C41" w:rsidRPr="00FA6C41" w:rsidRDefault="00FA6C41" w:rsidP="00D21D48">
      <w:pPr>
        <w:pStyle w:val="bodytext"/>
      </w:pPr>
      <w:r w:rsidRPr="00FA6C41">
        <w:t>The Remuneration Tribunal sets the remuneration and allowances for appointed PSR Panel members and Determining Authority members on an annual basis.</w:t>
      </w:r>
    </w:p>
    <w:p w:rsidR="00FA6C41" w:rsidRPr="00FA6C41" w:rsidRDefault="00FA6C41" w:rsidP="00D21D48">
      <w:pPr>
        <w:pStyle w:val="bodytext"/>
      </w:pPr>
      <w:r w:rsidRPr="00FA6C41">
        <w:t>Panel members and Deputy Directors who are appointed to specific PSR committees will be paid in accordance with the Remuneration Tribunal rates and allowances.</w:t>
      </w:r>
    </w:p>
    <w:p w:rsidR="00FA6C41" w:rsidRPr="00FA6C41" w:rsidRDefault="00FA6C41" w:rsidP="00D21D48">
      <w:pPr>
        <w:pStyle w:val="bodytext"/>
      </w:pPr>
      <w:r w:rsidRPr="00FA6C41">
        <w:t>Table 8 shows PSR Panel membership by location and gender.</w:t>
      </w:r>
    </w:p>
    <w:p w:rsidR="00FA6C41" w:rsidRPr="00FA6C41" w:rsidRDefault="00FA6C41" w:rsidP="00CD075F">
      <w:pPr>
        <w:pStyle w:val="tabletitle"/>
      </w:pPr>
      <w:r w:rsidRPr="00FA6C41">
        <w:t xml:space="preserve">Table 8: PSR Panel members by practice location and gender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59"/>
        <w:gridCol w:w="2661"/>
        <w:gridCol w:w="2659"/>
        <w:gridCol w:w="2657"/>
      </w:tblGrid>
      <w:tr w:rsidR="00FA6C41" w:rsidRPr="00FA6C41">
        <w:trPr>
          <w:trHeight w:val="300"/>
        </w:trPr>
        <w:tc>
          <w:tcPr>
            <w:tcW w:w="1250"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rPr>
                <w:color w:val="FFFFFF" w:themeColor="background1"/>
              </w:rPr>
            </w:pPr>
            <w:r w:rsidRPr="00D21D48">
              <w:rPr>
                <w:color w:val="FFFFFF" w:themeColor="background1"/>
              </w:rPr>
              <w:t>Location</w:t>
            </w:r>
          </w:p>
        </w:tc>
        <w:tc>
          <w:tcPr>
            <w:tcW w:w="1251"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jc w:val="right"/>
              <w:rPr>
                <w:color w:val="FFFFFF" w:themeColor="background1"/>
              </w:rPr>
            </w:pPr>
            <w:r w:rsidRPr="00D21D48">
              <w:rPr>
                <w:color w:val="FFFFFF" w:themeColor="background1"/>
              </w:rPr>
              <w:t>Male</w:t>
            </w:r>
          </w:p>
        </w:tc>
        <w:tc>
          <w:tcPr>
            <w:tcW w:w="1250"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jc w:val="right"/>
              <w:rPr>
                <w:color w:val="FFFFFF" w:themeColor="background1"/>
              </w:rPr>
            </w:pPr>
            <w:r w:rsidRPr="00D21D48">
              <w:rPr>
                <w:color w:val="FFFFFF" w:themeColor="background1"/>
              </w:rPr>
              <w:t>Female</w:t>
            </w:r>
          </w:p>
        </w:tc>
        <w:tc>
          <w:tcPr>
            <w:tcW w:w="1250" w:type="pct"/>
            <w:shd w:val="clear" w:color="auto" w:fill="365F91" w:themeFill="accent1" w:themeFillShade="BF"/>
            <w:tcMar>
              <w:top w:w="85" w:type="dxa"/>
              <w:left w:w="85" w:type="dxa"/>
              <w:bottom w:w="85" w:type="dxa"/>
              <w:right w:w="85" w:type="dxa"/>
            </w:tcMar>
          </w:tcPr>
          <w:p w:rsidR="00FA6C41" w:rsidRPr="00D21D48" w:rsidRDefault="00FA6C41" w:rsidP="00D21D48">
            <w:pPr>
              <w:pStyle w:val="bodytext"/>
              <w:jc w:val="right"/>
              <w:rPr>
                <w:color w:val="FFFFFF" w:themeColor="background1"/>
              </w:rPr>
            </w:pPr>
            <w:r w:rsidRPr="00D21D48">
              <w:rPr>
                <w:color w:val="FFFFFF" w:themeColor="background1"/>
              </w:rPr>
              <w:t>Total</w:t>
            </w:r>
          </w:p>
        </w:tc>
      </w:tr>
      <w:tr w:rsidR="00FA6C41" w:rsidRPr="00FA6C41">
        <w:trPr>
          <w:trHeight w:val="300"/>
        </w:trPr>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NSW</w:t>
            </w:r>
          </w:p>
        </w:tc>
        <w:tc>
          <w:tcPr>
            <w:tcW w:w="1251"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21</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11</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32</w:t>
            </w:r>
          </w:p>
        </w:tc>
      </w:tr>
      <w:tr w:rsidR="00FA6C41" w:rsidRPr="00FA6C41">
        <w:trPr>
          <w:trHeight w:val="300"/>
        </w:trPr>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ACT</w:t>
            </w:r>
          </w:p>
        </w:tc>
        <w:tc>
          <w:tcPr>
            <w:tcW w:w="1251"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3</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4</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7</w:t>
            </w:r>
          </w:p>
        </w:tc>
      </w:tr>
      <w:tr w:rsidR="00FA6C41" w:rsidRPr="00FA6C41">
        <w:trPr>
          <w:trHeight w:val="300"/>
        </w:trPr>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VIC</w:t>
            </w:r>
          </w:p>
        </w:tc>
        <w:tc>
          <w:tcPr>
            <w:tcW w:w="1251"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15</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7</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22</w:t>
            </w:r>
          </w:p>
        </w:tc>
      </w:tr>
      <w:tr w:rsidR="00FA6C41" w:rsidRPr="00FA6C41">
        <w:trPr>
          <w:trHeight w:val="300"/>
        </w:trPr>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QLD</w:t>
            </w:r>
          </w:p>
        </w:tc>
        <w:tc>
          <w:tcPr>
            <w:tcW w:w="1251"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10</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6</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16</w:t>
            </w:r>
          </w:p>
        </w:tc>
      </w:tr>
      <w:tr w:rsidR="00FA6C41" w:rsidRPr="00FA6C41">
        <w:trPr>
          <w:trHeight w:val="300"/>
        </w:trPr>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TAS</w:t>
            </w:r>
          </w:p>
        </w:tc>
        <w:tc>
          <w:tcPr>
            <w:tcW w:w="1251"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4</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2</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6</w:t>
            </w:r>
          </w:p>
        </w:tc>
      </w:tr>
      <w:tr w:rsidR="00FA6C41" w:rsidRPr="00FA6C41">
        <w:trPr>
          <w:trHeight w:val="300"/>
        </w:trPr>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NT</w:t>
            </w:r>
          </w:p>
        </w:tc>
        <w:tc>
          <w:tcPr>
            <w:tcW w:w="1251"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2</w:t>
            </w:r>
          </w:p>
        </w:tc>
      </w:tr>
      <w:tr w:rsidR="00FA6C41" w:rsidRPr="00FA6C41">
        <w:trPr>
          <w:trHeight w:val="300"/>
        </w:trPr>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SA</w:t>
            </w:r>
          </w:p>
        </w:tc>
        <w:tc>
          <w:tcPr>
            <w:tcW w:w="1251"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8</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5</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13</w:t>
            </w:r>
          </w:p>
        </w:tc>
      </w:tr>
      <w:tr w:rsidR="00FA6C41" w:rsidRPr="00FA6C41">
        <w:trPr>
          <w:trHeight w:val="300"/>
        </w:trPr>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WA</w:t>
            </w:r>
          </w:p>
        </w:tc>
        <w:tc>
          <w:tcPr>
            <w:tcW w:w="1251"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3</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0</w:t>
            </w:r>
          </w:p>
        </w:tc>
        <w:tc>
          <w:tcPr>
            <w:tcW w:w="1250" w:type="pct"/>
            <w:shd w:val="clear" w:color="auto" w:fill="auto"/>
            <w:tcMar>
              <w:top w:w="85" w:type="dxa"/>
              <w:left w:w="85" w:type="dxa"/>
              <w:bottom w:w="85" w:type="dxa"/>
              <w:right w:w="85" w:type="dxa"/>
            </w:tcMar>
          </w:tcPr>
          <w:p w:rsidR="00FA6C41" w:rsidRPr="00AE7496"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AE7496">
              <w:rPr>
                <w:rFonts w:ascii="SamoSansPro-Light" w:hAnsi="SamoSansPro-Light" w:cs="SamoSansPro-Light"/>
                <w:color w:val="000000"/>
                <w:szCs w:val="22"/>
                <w:lang w:val="en-GB"/>
              </w:rPr>
              <w:t>3</w:t>
            </w:r>
          </w:p>
        </w:tc>
      </w:tr>
      <w:tr w:rsidR="00FA6C41" w:rsidRPr="00FA6C41">
        <w:trPr>
          <w:trHeight w:val="300"/>
        </w:trPr>
        <w:tc>
          <w:tcPr>
            <w:tcW w:w="1250" w:type="pct"/>
            <w:shd w:val="clear" w:color="auto" w:fill="auto"/>
            <w:tcMar>
              <w:top w:w="85" w:type="dxa"/>
              <w:left w:w="85" w:type="dxa"/>
              <w:bottom w:w="85" w:type="dxa"/>
              <w:right w:w="85" w:type="dxa"/>
            </w:tcMar>
          </w:tcPr>
          <w:p w:rsidR="00FA6C41" w:rsidRPr="00D21D48" w:rsidRDefault="00FA6C41" w:rsidP="00D21D48">
            <w:pPr>
              <w:pStyle w:val="bodytext"/>
              <w:rPr>
                <w:rFonts w:ascii="SamoSansPro-Light" w:hAnsi="SamoSansPro-Light"/>
                <w:b/>
              </w:rPr>
            </w:pPr>
            <w:r w:rsidRPr="00D21D48">
              <w:rPr>
                <w:b/>
              </w:rPr>
              <w:t xml:space="preserve">Total </w:t>
            </w:r>
          </w:p>
        </w:tc>
        <w:tc>
          <w:tcPr>
            <w:tcW w:w="1251" w:type="pct"/>
            <w:shd w:val="clear" w:color="auto" w:fill="auto"/>
            <w:tcMar>
              <w:top w:w="85" w:type="dxa"/>
              <w:left w:w="85" w:type="dxa"/>
              <w:bottom w:w="85" w:type="dxa"/>
              <w:right w:w="85" w:type="dxa"/>
            </w:tcMar>
          </w:tcPr>
          <w:p w:rsidR="00FA6C41" w:rsidRPr="00D21D48" w:rsidRDefault="00FA6C41" w:rsidP="00D21D48">
            <w:pPr>
              <w:pStyle w:val="bodytext"/>
              <w:jc w:val="right"/>
              <w:rPr>
                <w:rFonts w:ascii="SamoSansPro-Light" w:hAnsi="SamoSansPro-Light"/>
                <w:b/>
              </w:rPr>
            </w:pPr>
            <w:r w:rsidRPr="00D21D48">
              <w:rPr>
                <w:b/>
              </w:rPr>
              <w:t>65</w:t>
            </w:r>
          </w:p>
        </w:tc>
        <w:tc>
          <w:tcPr>
            <w:tcW w:w="1250" w:type="pct"/>
            <w:shd w:val="clear" w:color="auto" w:fill="auto"/>
            <w:tcMar>
              <w:top w:w="85" w:type="dxa"/>
              <w:left w:w="85" w:type="dxa"/>
              <w:bottom w:w="85" w:type="dxa"/>
              <w:right w:w="85" w:type="dxa"/>
            </w:tcMar>
          </w:tcPr>
          <w:p w:rsidR="00FA6C41" w:rsidRPr="00D21D48" w:rsidRDefault="00FA6C41" w:rsidP="00D21D48">
            <w:pPr>
              <w:pStyle w:val="bodytext"/>
              <w:jc w:val="right"/>
              <w:rPr>
                <w:rFonts w:ascii="SamoSansPro-Light" w:hAnsi="SamoSansPro-Light"/>
                <w:b/>
              </w:rPr>
            </w:pPr>
            <w:r w:rsidRPr="00D21D48">
              <w:rPr>
                <w:b/>
              </w:rPr>
              <w:t>36</w:t>
            </w:r>
          </w:p>
        </w:tc>
        <w:tc>
          <w:tcPr>
            <w:tcW w:w="1250" w:type="pct"/>
            <w:shd w:val="clear" w:color="auto" w:fill="auto"/>
            <w:tcMar>
              <w:top w:w="85" w:type="dxa"/>
              <w:left w:w="85" w:type="dxa"/>
              <w:bottom w:w="85" w:type="dxa"/>
              <w:right w:w="85" w:type="dxa"/>
            </w:tcMar>
          </w:tcPr>
          <w:p w:rsidR="00FA6C41" w:rsidRPr="00D21D48" w:rsidRDefault="00FA6C41" w:rsidP="00D21D48">
            <w:pPr>
              <w:pStyle w:val="bodytext"/>
              <w:jc w:val="right"/>
              <w:rPr>
                <w:rFonts w:ascii="SamoSansPro-Light" w:hAnsi="SamoSansPro-Light"/>
                <w:b/>
              </w:rPr>
            </w:pPr>
            <w:r w:rsidRPr="00D21D48">
              <w:rPr>
                <w:b/>
              </w:rPr>
              <w:t>101</w:t>
            </w:r>
          </w:p>
        </w:tc>
      </w:tr>
    </w:tbl>
    <w:p w:rsidR="00FA6C41" w:rsidRPr="00FA6C41" w:rsidRDefault="00FA6C41" w:rsidP="00FA6C41">
      <w:pPr>
        <w:widowControl w:val="0"/>
        <w:suppressAutoHyphens/>
        <w:autoSpaceDE w:val="0"/>
        <w:autoSpaceDN w:val="0"/>
        <w:adjustRightInd w:val="0"/>
        <w:spacing w:line="288" w:lineRule="auto"/>
        <w:textAlignment w:val="center"/>
        <w:rPr>
          <w:rFonts w:ascii="ArialNarrow" w:hAnsi="ArialNarrow" w:cs="ArialNarrow"/>
          <w:color w:val="000000"/>
          <w:lang w:val="en-AU"/>
        </w:rPr>
      </w:pPr>
    </w:p>
    <w:p w:rsidR="00FA6C41" w:rsidRPr="00FA6C41" w:rsidRDefault="00FA6C41" w:rsidP="00CD075F">
      <w:pPr>
        <w:pStyle w:val="tabletitle"/>
      </w:pPr>
      <w:r w:rsidRPr="00FA6C41">
        <w:t>Training and development</w:t>
      </w:r>
    </w:p>
    <w:p w:rsidR="00FA6C41" w:rsidRPr="00FA6C41" w:rsidRDefault="00FA6C41" w:rsidP="00D21D48">
      <w:pPr>
        <w:pStyle w:val="bodytext"/>
      </w:pPr>
      <w:r w:rsidRPr="00FA6C41">
        <w:t xml:space="preserve">PSR employees, in consultation with their managers, identify their training and development needs through individual development plans made under the organisation’s Performance Development Scheme. As a result of this consultation PSR employees accessed a range of learning and development opportunities during the 2013–14 financial </w:t>
      </w:r>
      <w:proofErr w:type="gramStart"/>
      <w:r w:rsidRPr="00FA6C41">
        <w:t>year</w:t>
      </w:r>
      <w:proofErr w:type="gramEnd"/>
      <w:r w:rsidRPr="00FA6C41">
        <w:t xml:space="preserve"> including a variety of external courses and workshops in areas including leadership and management, work health and safety, law, risk and records management. All employees attended courses on work health and safety matters as mandatory training. </w:t>
      </w:r>
    </w:p>
    <w:p w:rsidR="00FA6C41" w:rsidRPr="00FA6C41" w:rsidRDefault="00FA6C41" w:rsidP="00D21D48">
      <w:pPr>
        <w:pStyle w:val="bodytext"/>
      </w:pPr>
      <w:r w:rsidRPr="00FA6C41">
        <w:t xml:space="preserve">In addition PSR also engaged consultants Noetic to undertake a Training Needs Analysis involving all staff. The impetus for the Training Needs Analysis arose from the review that PSR undertook of the implementation of its restructure. This restructure resulted in a reduction of staff particularly in the corporate support area and in particular a reduction in the number of EL staff in relation to APS staff. This meant that remaining staff took on new tasks and responsibilities and were often working across a number of areas. The PSR management team wanted to ensure that staff were properly supported to take on these new roles and were given appropriate development opportunities. The Training Needs Analysis </w:t>
      </w:r>
      <w:proofErr w:type="gramStart"/>
      <w:r w:rsidRPr="00FA6C41">
        <w:t>provided</w:t>
      </w:r>
      <w:proofErr w:type="gramEnd"/>
      <w:r w:rsidRPr="00FA6C41">
        <w:t xml:space="preserve"> </w:t>
      </w:r>
      <w:proofErr w:type="gramStart"/>
      <w:r w:rsidRPr="00FA6C41">
        <w:t>individual assessment of training needs</w:t>
      </w:r>
      <w:proofErr w:type="gramEnd"/>
      <w:r w:rsidRPr="00FA6C41">
        <w:t xml:space="preserve"> to support these new roles. </w:t>
      </w:r>
    </w:p>
    <w:p w:rsidR="00FA6C41" w:rsidRPr="00FA6C41" w:rsidRDefault="00FA6C41" w:rsidP="00FA6C41">
      <w:pPr>
        <w:rPr>
          <w:lang w:val="en-GB"/>
        </w:rPr>
      </w:pPr>
      <w:r w:rsidRPr="00FA6C41">
        <w:rPr>
          <w:lang w:val="en-GB"/>
        </w:rPr>
        <w:t xml:space="preserve">PSR allocated approximately 2.19 per cent of its annual salary expenditure to </w:t>
      </w:r>
      <w:proofErr w:type="gramStart"/>
      <w:r w:rsidRPr="00FA6C41">
        <w:rPr>
          <w:lang w:val="en-GB"/>
        </w:rPr>
        <w:t>non technical</w:t>
      </w:r>
      <w:proofErr w:type="gramEnd"/>
      <w:r w:rsidRPr="00FA6C41">
        <w:rPr>
          <w:lang w:val="en-GB"/>
        </w:rPr>
        <w:t xml:space="preserve"> training and development during the year.</w:t>
      </w:r>
    </w:p>
    <w:p w:rsidR="00FA6C41" w:rsidRPr="00FA6C41" w:rsidRDefault="00FA6C41" w:rsidP="00E579CA">
      <w:pPr>
        <w:pStyle w:val="tabletitle"/>
      </w:pPr>
      <w:r w:rsidRPr="00FA6C41">
        <w:t>Work health and safety</w:t>
      </w:r>
    </w:p>
    <w:p w:rsidR="00FA6C41" w:rsidRPr="00FA6C41" w:rsidRDefault="00FA6C41" w:rsidP="00D21D48">
      <w:pPr>
        <w:pStyle w:val="bodytext"/>
      </w:pPr>
      <w:r w:rsidRPr="00FA6C41">
        <w:t xml:space="preserve">PSR is committed to protecting the health, safety and welfare of its employees, contractors and visitors. </w:t>
      </w:r>
    </w:p>
    <w:p w:rsidR="00FA6C41" w:rsidRPr="00FA6C41" w:rsidRDefault="00FA6C41" w:rsidP="00D21D48">
      <w:pPr>
        <w:pStyle w:val="bodytext"/>
      </w:pPr>
      <w:r w:rsidRPr="00FA6C41">
        <w:t xml:space="preserve">PSR undertook a number of health and safety initiatives in 2013–14, including: </w:t>
      </w:r>
    </w:p>
    <w:p w:rsidR="00FA6C41" w:rsidRPr="00FA6C41" w:rsidRDefault="00FA6C41" w:rsidP="00FA6C41">
      <w:pPr>
        <w:pStyle w:val="ListBullet"/>
        <w:rPr>
          <w:lang w:val="en-GB"/>
        </w:rPr>
      </w:pPr>
      <w:proofErr w:type="gramStart"/>
      <w:r w:rsidRPr="00FA6C41">
        <w:rPr>
          <w:lang w:val="en-GB"/>
        </w:rPr>
        <w:t>undertaking</w:t>
      </w:r>
      <w:proofErr w:type="gramEnd"/>
      <w:r w:rsidRPr="00FA6C41">
        <w:rPr>
          <w:lang w:val="en-GB"/>
        </w:rPr>
        <w:t xml:space="preserve"> workstation assessments for all new employees </w:t>
      </w:r>
    </w:p>
    <w:p w:rsidR="00FA6C41" w:rsidRPr="00FA6C41" w:rsidRDefault="00FA6C41" w:rsidP="00FA6C41">
      <w:pPr>
        <w:pStyle w:val="ListBullet"/>
        <w:rPr>
          <w:lang w:val="en-GB"/>
        </w:rPr>
      </w:pPr>
      <w:proofErr w:type="gramStart"/>
      <w:r w:rsidRPr="00FA6C41">
        <w:rPr>
          <w:lang w:val="en-GB"/>
        </w:rPr>
        <w:t>arranging</w:t>
      </w:r>
      <w:proofErr w:type="gramEnd"/>
      <w:r w:rsidRPr="00FA6C41">
        <w:rPr>
          <w:lang w:val="en-GB"/>
        </w:rPr>
        <w:t xml:space="preserve"> influenza vaccinations on site for all employees </w:t>
      </w:r>
    </w:p>
    <w:p w:rsidR="00FA6C41" w:rsidRPr="00FA6C41" w:rsidRDefault="00FA6C41" w:rsidP="00FA6C41">
      <w:pPr>
        <w:pStyle w:val="ListBullet"/>
        <w:rPr>
          <w:lang w:val="en-GB"/>
        </w:rPr>
      </w:pPr>
      <w:proofErr w:type="gramStart"/>
      <w:r w:rsidRPr="00FA6C41">
        <w:rPr>
          <w:lang w:val="en-GB"/>
        </w:rPr>
        <w:t>providing</w:t>
      </w:r>
      <w:proofErr w:type="gramEnd"/>
      <w:r w:rsidRPr="00FA6C41">
        <w:rPr>
          <w:lang w:val="en-GB"/>
        </w:rPr>
        <w:t xml:space="preserve"> access to the employee assistance program for all employees and their immediate families </w:t>
      </w:r>
    </w:p>
    <w:p w:rsidR="00FA6C41" w:rsidRPr="00FA6C41" w:rsidRDefault="00FA6C41" w:rsidP="00FA6C41">
      <w:pPr>
        <w:pStyle w:val="ListBullet"/>
        <w:rPr>
          <w:lang w:val="en-GB"/>
        </w:rPr>
      </w:pPr>
      <w:proofErr w:type="gramStart"/>
      <w:r w:rsidRPr="00FA6C41">
        <w:rPr>
          <w:lang w:val="en-GB"/>
        </w:rPr>
        <w:t>providing</w:t>
      </w:r>
      <w:proofErr w:type="gramEnd"/>
      <w:r w:rsidRPr="00FA6C41">
        <w:rPr>
          <w:lang w:val="en-GB"/>
        </w:rPr>
        <w:t xml:space="preserve"> training for an additional first aid officer</w:t>
      </w:r>
    </w:p>
    <w:p w:rsidR="00FA6C41" w:rsidRPr="00FA6C41" w:rsidRDefault="00FA6C41" w:rsidP="00FA6C41">
      <w:pPr>
        <w:pStyle w:val="ListBullet"/>
        <w:rPr>
          <w:lang w:val="en-GB"/>
        </w:rPr>
      </w:pPr>
      <w:proofErr w:type="gramStart"/>
      <w:r w:rsidRPr="00FA6C41">
        <w:rPr>
          <w:lang w:val="en-GB"/>
        </w:rPr>
        <w:t>appointing</w:t>
      </w:r>
      <w:proofErr w:type="gramEnd"/>
      <w:r w:rsidRPr="00FA6C41">
        <w:rPr>
          <w:lang w:val="en-GB"/>
        </w:rPr>
        <w:t xml:space="preserve"> a new fire warden and an additional workplace harassment contact officer.</w:t>
      </w:r>
    </w:p>
    <w:p w:rsidR="00FA6C41" w:rsidRPr="00FA6C41" w:rsidRDefault="00FA6C41" w:rsidP="00D21D48">
      <w:pPr>
        <w:pStyle w:val="bodytext"/>
      </w:pPr>
      <w:r w:rsidRPr="00FA6C41">
        <w:t xml:space="preserve">PSR’s work health and safety representative is responsible for monitoring workplace hazards. The work health and safety representative and the Human Resources Officer conduct workplace inspections and report their findings to the Health and Safety Committee for action. Employees can also raise any health and safety issues with the work health and safety representative. </w:t>
      </w:r>
    </w:p>
    <w:p w:rsidR="00FA6C41" w:rsidRPr="00FA6C41" w:rsidRDefault="00FA6C41" w:rsidP="00E579CA">
      <w:pPr>
        <w:pStyle w:val="tabletitle"/>
      </w:pPr>
      <w:r w:rsidRPr="00FA6C41">
        <w:t>Disability reporting mechanisms</w:t>
      </w:r>
    </w:p>
    <w:p w:rsidR="00FA6C41" w:rsidRPr="00FA6C41" w:rsidRDefault="00FA6C41" w:rsidP="00D21D48">
      <w:pPr>
        <w:pStyle w:val="bodytext"/>
        <w:rPr>
          <w:rFonts w:ascii="SamoSansPro-Light" w:hAnsi="SamoSansPro-Light"/>
          <w:sz w:val="19"/>
        </w:rPr>
      </w:pPr>
      <w:r w:rsidRPr="00E579CA">
        <w:t xml:space="preserve">The </w:t>
      </w:r>
      <w:proofErr w:type="gramStart"/>
      <w:r w:rsidRPr="00E579CA">
        <w:t>Commonwealth Disability Strategy has been</w:t>
      </w:r>
      <w:r w:rsidRPr="00FA6C41">
        <w:rPr>
          <w:rFonts w:ascii="SamoSansPro-Light" w:hAnsi="SamoSansPro-Light"/>
          <w:sz w:val="19"/>
        </w:rPr>
        <w:t xml:space="preserve"> </w:t>
      </w:r>
      <w:r w:rsidRPr="00E579CA">
        <w:t>overtaken by the National Disability Strategy 2010</w:t>
      </w:r>
      <w:proofErr w:type="gramEnd"/>
      <w:r w:rsidRPr="00E579CA">
        <w:t>–2020, which sets out a ten year national policy framework to improve the lives of people with disability, promote participation and create a more inclusive society. A high level two-yearly report will track progress against each of the six outcome areas of the Strategy and present a picture of how people with disability are faring. The first of</w:t>
      </w:r>
      <w:r w:rsidRPr="00FA6C41">
        <w:rPr>
          <w:rFonts w:ascii="SamoSansPro-Light" w:hAnsi="SamoSansPro-Light"/>
          <w:sz w:val="19"/>
        </w:rPr>
        <w:t xml:space="preserve"> </w:t>
      </w:r>
      <w:r w:rsidRPr="00E579CA">
        <w:t xml:space="preserve">these reports will be available in late 2014, and can be found at </w:t>
      </w:r>
      <w:r w:rsidRPr="00E579CA">
        <w:rPr>
          <w:u w:val="single"/>
        </w:rPr>
        <w:t>www.dss.gov.au</w:t>
      </w:r>
      <w:r w:rsidRPr="00E579CA">
        <w:t>.</w:t>
      </w:r>
    </w:p>
    <w:p w:rsidR="00FA6C41" w:rsidRPr="00FA6C41" w:rsidRDefault="00E579CA" w:rsidP="00E579CA">
      <w:pPr>
        <w:pStyle w:val="Heading1"/>
      </w:pPr>
      <w:bookmarkStart w:id="169" w:name="_Toc275439500"/>
      <w:bookmarkStart w:id="170" w:name="_Toc276040202"/>
      <w:r>
        <w:t xml:space="preserve">4 </w:t>
      </w:r>
      <w:r w:rsidR="00FA6C41" w:rsidRPr="00FA6C41">
        <w:t>Finance</w:t>
      </w:r>
      <w:bookmarkEnd w:id="169"/>
      <w:bookmarkEnd w:id="170"/>
    </w:p>
    <w:p w:rsidR="00FA6C41" w:rsidRPr="00FA6C41" w:rsidRDefault="00FA6C41" w:rsidP="00D21D48">
      <w:pPr>
        <w:pStyle w:val="bodytext"/>
      </w:pPr>
      <w:r w:rsidRPr="00FA6C41">
        <w:t>PSR’s departmental appropriation budget for 2013–14 was $</w:t>
      </w:r>
      <w:proofErr w:type="gramStart"/>
      <w:r w:rsidRPr="00FA6C41">
        <w:t>6,195,000 which</w:t>
      </w:r>
      <w:proofErr w:type="gramEnd"/>
      <w:r w:rsidRPr="00FA6C41">
        <w:t xml:space="preserve"> includes an amount of $455,000 for the departmental capital budget. </w:t>
      </w:r>
    </w:p>
    <w:p w:rsidR="00FA6C41" w:rsidRPr="00FA6C41" w:rsidRDefault="00FA6C41" w:rsidP="00D21D48">
      <w:pPr>
        <w:pStyle w:val="bodytext"/>
      </w:pPr>
      <w:r w:rsidRPr="00FA6C41">
        <w:t>The agency’s 2013–14 departmental expenses were $4,861,383 (GST exclusive).</w:t>
      </w:r>
    </w:p>
    <w:p w:rsidR="00FA6C41" w:rsidRPr="00FA6C41" w:rsidRDefault="00FA6C41" w:rsidP="00D21D48">
      <w:pPr>
        <w:pStyle w:val="bodytext"/>
      </w:pPr>
      <w:r w:rsidRPr="00FA6C41">
        <w:t>A resource summary of PSR’s departmental expenses is provided in Appendix 1. Further information on PSR’s financial performance is provided in the audited financial statements and accompanying notes at Appendix 2.</w:t>
      </w:r>
    </w:p>
    <w:p w:rsidR="00FA6C41" w:rsidRPr="00FA6C41" w:rsidRDefault="00FA6C41" w:rsidP="00E579CA">
      <w:pPr>
        <w:pStyle w:val="Heading2"/>
      </w:pPr>
      <w:bookmarkStart w:id="171" w:name="_Toc275439501"/>
      <w:bookmarkStart w:id="172" w:name="_Toc276040203"/>
      <w:r w:rsidRPr="00FA6C41">
        <w:t>Purchasing</w:t>
      </w:r>
      <w:bookmarkEnd w:id="171"/>
      <w:bookmarkEnd w:id="172"/>
    </w:p>
    <w:p w:rsidR="00FA6C41" w:rsidRPr="00FA6C41" w:rsidRDefault="00FA6C41" w:rsidP="00D21D48">
      <w:pPr>
        <w:pStyle w:val="bodytext"/>
      </w:pPr>
      <w:r w:rsidRPr="00FA6C41">
        <w:t>In 2013–14, PSR sourced goods and services in accordance with the principles set out in the Commonwealth Procurement Rules (available at www.finance.gov.au).</w:t>
      </w:r>
    </w:p>
    <w:p w:rsidR="00FA6C41" w:rsidRPr="00FA6C41" w:rsidRDefault="00FA6C41" w:rsidP="00D21D48">
      <w:pPr>
        <w:pStyle w:val="bodytext"/>
      </w:pPr>
      <w:r w:rsidRPr="00FA6C41">
        <w:t>The agency’s purchasing of goods and services reflected the mandatory guidelines, focusing on:</w:t>
      </w:r>
    </w:p>
    <w:p w:rsidR="00FA6C41" w:rsidRPr="00FA6C41" w:rsidRDefault="00FA6C41" w:rsidP="004C030E">
      <w:pPr>
        <w:pStyle w:val="ListBullet"/>
        <w:rPr>
          <w:lang w:val="en-GB"/>
        </w:rPr>
      </w:pPr>
      <w:proofErr w:type="gramStart"/>
      <w:r w:rsidRPr="00FA6C41">
        <w:rPr>
          <w:lang w:val="en-GB"/>
        </w:rPr>
        <w:t>value</w:t>
      </w:r>
      <w:proofErr w:type="gramEnd"/>
      <w:r w:rsidRPr="00FA6C41">
        <w:rPr>
          <w:lang w:val="en-GB"/>
        </w:rPr>
        <w:t xml:space="preserve"> for money</w:t>
      </w:r>
    </w:p>
    <w:p w:rsidR="00FA6C41" w:rsidRPr="00FA6C41" w:rsidRDefault="00FA6C41" w:rsidP="004C030E">
      <w:pPr>
        <w:pStyle w:val="ListBullet"/>
        <w:rPr>
          <w:lang w:val="en-GB"/>
        </w:rPr>
      </w:pPr>
      <w:proofErr w:type="gramStart"/>
      <w:r w:rsidRPr="00FA6C41">
        <w:rPr>
          <w:lang w:val="en-GB"/>
        </w:rPr>
        <w:t>encouraging</w:t>
      </w:r>
      <w:proofErr w:type="gramEnd"/>
      <w:r w:rsidRPr="00FA6C41">
        <w:rPr>
          <w:lang w:val="en-GB"/>
        </w:rPr>
        <w:t xml:space="preserve"> competition</w:t>
      </w:r>
    </w:p>
    <w:p w:rsidR="00FA6C41" w:rsidRPr="00FA6C41" w:rsidRDefault="00FA6C41" w:rsidP="004C030E">
      <w:pPr>
        <w:pStyle w:val="ListBullet"/>
        <w:rPr>
          <w:lang w:val="en-GB"/>
        </w:rPr>
      </w:pPr>
      <w:proofErr w:type="gramStart"/>
      <w:r w:rsidRPr="00FA6C41">
        <w:rPr>
          <w:lang w:val="en-GB"/>
        </w:rPr>
        <w:t>efficient</w:t>
      </w:r>
      <w:proofErr w:type="gramEnd"/>
      <w:r w:rsidRPr="00FA6C41">
        <w:rPr>
          <w:lang w:val="en-GB"/>
        </w:rPr>
        <w:t>, effective and ethical use of Australian Government resources</w:t>
      </w:r>
    </w:p>
    <w:p w:rsidR="00FA6C41" w:rsidRPr="00FA6C41" w:rsidRDefault="00FA6C41" w:rsidP="004C030E">
      <w:pPr>
        <w:pStyle w:val="ListBullet"/>
        <w:rPr>
          <w:lang w:val="en-GB"/>
        </w:rPr>
      </w:pPr>
      <w:proofErr w:type="gramStart"/>
      <w:r w:rsidRPr="00FA6C41">
        <w:rPr>
          <w:lang w:val="en-GB"/>
        </w:rPr>
        <w:t>accountability</w:t>
      </w:r>
      <w:proofErr w:type="gramEnd"/>
      <w:r w:rsidRPr="00FA6C41">
        <w:rPr>
          <w:lang w:val="en-GB"/>
        </w:rPr>
        <w:t xml:space="preserve"> and transparency</w:t>
      </w:r>
    </w:p>
    <w:p w:rsidR="00FA6C41" w:rsidRPr="00FA6C41" w:rsidRDefault="00FA6C41" w:rsidP="004C030E">
      <w:pPr>
        <w:pStyle w:val="ListBullet"/>
        <w:rPr>
          <w:lang w:val="en-GB"/>
        </w:rPr>
      </w:pPr>
      <w:proofErr w:type="gramStart"/>
      <w:r w:rsidRPr="00FA6C41">
        <w:rPr>
          <w:lang w:val="en-GB"/>
        </w:rPr>
        <w:t>compliance</w:t>
      </w:r>
      <w:proofErr w:type="gramEnd"/>
      <w:r w:rsidRPr="00FA6C41">
        <w:rPr>
          <w:lang w:val="en-GB"/>
        </w:rPr>
        <w:t xml:space="preserve"> with other Australian Government policies.</w:t>
      </w:r>
    </w:p>
    <w:p w:rsidR="00FA6C41" w:rsidRPr="00FA6C41" w:rsidRDefault="00FA6C41" w:rsidP="00D21D48">
      <w:pPr>
        <w:pStyle w:val="bodytext"/>
      </w:pPr>
      <w:r w:rsidRPr="00FA6C41">
        <w:t>PSR has outsourced all air travel bookings. As part of the service delivery agreement with the provider, PSR requires ‘best fare of the day’ when procuring air travel for all PSR employees and part-time officeholders.</w:t>
      </w:r>
    </w:p>
    <w:p w:rsidR="00FA6C41" w:rsidRPr="00FA6C41" w:rsidRDefault="00FA6C41" w:rsidP="00E579CA">
      <w:pPr>
        <w:pStyle w:val="Heading2"/>
      </w:pPr>
      <w:bookmarkStart w:id="173" w:name="_Toc275439502"/>
      <w:bookmarkStart w:id="174" w:name="_Toc276040204"/>
      <w:r w:rsidRPr="00FA6C41">
        <w:t>Asset management</w:t>
      </w:r>
      <w:bookmarkEnd w:id="173"/>
      <w:bookmarkEnd w:id="174"/>
    </w:p>
    <w:p w:rsidR="00FA6C41" w:rsidRPr="00FA6C41" w:rsidRDefault="00FA6C41" w:rsidP="00D21D48">
      <w:pPr>
        <w:pStyle w:val="bodytext"/>
      </w:pPr>
      <w:r w:rsidRPr="00FA6C41">
        <w:t>Management of physical assets is not a significant part of PSR’s business. A departmental capital budget has been developed to ensure that there are sufficient funds to replace assets as required.</w:t>
      </w:r>
    </w:p>
    <w:p w:rsidR="00FA6C41" w:rsidRPr="00FA6C41" w:rsidRDefault="00FA6C41" w:rsidP="00D21D48">
      <w:pPr>
        <w:pStyle w:val="bodytext"/>
      </w:pPr>
      <w:r w:rsidRPr="00FA6C41">
        <w:t xml:space="preserve">PSR maintains an asset register and conducts an annual asset stocktake in accordance with accounting standards and better practice asset management. </w:t>
      </w:r>
    </w:p>
    <w:p w:rsidR="00FA6C41" w:rsidRPr="00FA6C41" w:rsidRDefault="00FA6C41" w:rsidP="00E579CA">
      <w:pPr>
        <w:pStyle w:val="Heading2"/>
      </w:pPr>
      <w:bookmarkStart w:id="175" w:name="_Toc275439503"/>
      <w:bookmarkStart w:id="176" w:name="_Toc276040205"/>
      <w:r w:rsidRPr="00FA6C41">
        <w:t>Consultants</w:t>
      </w:r>
      <w:bookmarkEnd w:id="175"/>
      <w:bookmarkEnd w:id="176"/>
    </w:p>
    <w:p w:rsidR="00FA6C41" w:rsidRPr="00FA6C41" w:rsidRDefault="00FA6C41" w:rsidP="00D21D48">
      <w:pPr>
        <w:pStyle w:val="bodytext"/>
      </w:pPr>
      <w:r w:rsidRPr="00FA6C41">
        <w:t>The agency engages consultants where it lacks specialist expertise or when independent research, review or assessment is required. Consultants are typically engaged to investigate or diagnose a defined issue or problem; carry out defined reviews or evaluations; or provide independent advice, information or creative solutions to assist in the agency’s decision making.</w:t>
      </w:r>
    </w:p>
    <w:p w:rsidR="00FA6C41" w:rsidRPr="00FA6C41" w:rsidRDefault="00FA6C41" w:rsidP="00D21D48">
      <w:pPr>
        <w:pStyle w:val="bodytext"/>
      </w:pPr>
      <w:r w:rsidRPr="00FA6C41">
        <w:t>Before engaging consultants, the agency takes into account the skills and resources required for the task, the skills available internally, and the cost-effectiveness of engaging external expertise. The decision to engage a consultant is made in accordance with the FMA Act and related regulations including the Commonwealth Procurement Rules.</w:t>
      </w:r>
    </w:p>
    <w:p w:rsidR="00FA6C41" w:rsidRPr="00FA6C41" w:rsidRDefault="00FA6C41" w:rsidP="00D21D48">
      <w:pPr>
        <w:pStyle w:val="bodytext"/>
      </w:pPr>
      <w:r w:rsidRPr="00FA6C41">
        <w:t xml:space="preserve">During 2013–14, PSR entered into five new consultancy contracts under section 90 of the </w:t>
      </w:r>
      <w:r w:rsidRPr="00FA6C41">
        <w:br/>
        <w:t xml:space="preserve">HIA Act for a total value of $54,535 (GST exclusive) to assist the performance of the functions, duties and powers of the Director. In addition, PSR incurred further expenditure of $159,558 (GST exclusive) in relation to two new consultancy contracts for the provision of legal services. </w:t>
      </w:r>
    </w:p>
    <w:p w:rsidR="00FA6C41" w:rsidRPr="00FA6C41" w:rsidRDefault="00FA6C41" w:rsidP="00D21D48">
      <w:pPr>
        <w:pStyle w:val="bodytext"/>
      </w:pPr>
      <w:r w:rsidRPr="00FA6C41">
        <w:t>PSR spent a cumulative amount of $465,799 (GST exclusive) on consultancies during 2013–14 to assist the agency with professional, independent and expert advice.</w:t>
      </w:r>
    </w:p>
    <w:p w:rsidR="00FA6C41" w:rsidRPr="00FA6C41" w:rsidRDefault="00FA6C41" w:rsidP="00D21D48">
      <w:pPr>
        <w:pStyle w:val="bodytext"/>
      </w:pPr>
      <w:r w:rsidRPr="00FA6C41">
        <w:t xml:space="preserve">Annual reports contain information about actual expenditure on contracts for consultancies. Information on the value of contracts and consultancies is available on the AusTender website </w:t>
      </w:r>
      <w:r w:rsidRPr="00E579CA">
        <w:rPr>
          <w:u w:val="single"/>
        </w:rPr>
        <w:t>www.tenders.gov.au.</w:t>
      </w:r>
    </w:p>
    <w:p w:rsidR="00FA6C41" w:rsidRPr="00FA6C41" w:rsidRDefault="00FA6C41" w:rsidP="00E579CA">
      <w:pPr>
        <w:pStyle w:val="Heading2"/>
      </w:pPr>
      <w:bookmarkStart w:id="177" w:name="_Toc275439504"/>
      <w:bookmarkStart w:id="178" w:name="_Toc276040206"/>
      <w:r w:rsidRPr="00FA6C41">
        <w:t>Australian National Audit Office access clauses</w:t>
      </w:r>
      <w:bookmarkEnd w:id="177"/>
      <w:bookmarkEnd w:id="178"/>
    </w:p>
    <w:p w:rsidR="00FA6C41" w:rsidRPr="00FA6C41" w:rsidRDefault="00FA6C41" w:rsidP="00D21D48">
      <w:pPr>
        <w:pStyle w:val="bodytext"/>
      </w:pPr>
      <w:r w:rsidRPr="00FA6C41">
        <w:t xml:space="preserve">During 2013–14, PSR had no contracts over the value of $100,000 that did not provide for the Auditor-General to have access to the contractor’s premises. </w:t>
      </w:r>
    </w:p>
    <w:p w:rsidR="00FA6C41" w:rsidRPr="00FA6C41" w:rsidRDefault="00FA6C41" w:rsidP="00E579CA">
      <w:pPr>
        <w:pStyle w:val="Heading2"/>
      </w:pPr>
      <w:bookmarkStart w:id="179" w:name="_Toc275439505"/>
      <w:bookmarkStart w:id="180" w:name="_Toc276040207"/>
      <w:r w:rsidRPr="00FA6C41">
        <w:t>Exempt contracts</w:t>
      </w:r>
      <w:bookmarkEnd w:id="179"/>
      <w:bookmarkEnd w:id="180"/>
    </w:p>
    <w:p w:rsidR="00FA6C41" w:rsidRPr="00E579CA" w:rsidRDefault="00FA6C41" w:rsidP="00D21D48">
      <w:pPr>
        <w:pStyle w:val="bodytext"/>
        <w:rPr>
          <w:i/>
        </w:rPr>
      </w:pPr>
      <w:r w:rsidRPr="00FA6C41">
        <w:t xml:space="preserve">In 2013–14, PSR had no contracts over the value of $10,000 that were exempted from being published on AusTender on the basis that to do so would disclose exempt matters under the </w:t>
      </w:r>
      <w:r w:rsidRPr="00E579CA">
        <w:rPr>
          <w:i/>
        </w:rPr>
        <w:t>Freedom of Information Act 1982.</w:t>
      </w:r>
    </w:p>
    <w:p w:rsidR="00FA6C41" w:rsidRPr="00FA6C41" w:rsidRDefault="00FA6C41" w:rsidP="00E579CA">
      <w:pPr>
        <w:pStyle w:val="Heading2"/>
      </w:pPr>
      <w:bookmarkStart w:id="181" w:name="_Toc275439506"/>
      <w:bookmarkStart w:id="182" w:name="_Toc276040208"/>
      <w:r w:rsidRPr="00FA6C41">
        <w:t>Advertising and market research</w:t>
      </w:r>
      <w:bookmarkEnd w:id="181"/>
      <w:bookmarkEnd w:id="182"/>
    </w:p>
    <w:p w:rsidR="00FA6C41" w:rsidRPr="00FA6C41" w:rsidRDefault="00FA6C41" w:rsidP="00D21D48">
      <w:pPr>
        <w:pStyle w:val="bodytext"/>
      </w:pPr>
      <w:r w:rsidRPr="00FA6C41">
        <w:t>No advertising campaigns or market research were undertaken during 2013–14.</w:t>
      </w:r>
    </w:p>
    <w:p w:rsidR="00FA6C41" w:rsidRPr="00FA6C41" w:rsidRDefault="00FA6C41" w:rsidP="00E579CA">
      <w:pPr>
        <w:pStyle w:val="Heading2"/>
      </w:pPr>
      <w:bookmarkStart w:id="183" w:name="_Toc275439507"/>
      <w:bookmarkStart w:id="184" w:name="_Toc276040209"/>
      <w:r w:rsidRPr="00FA6C41">
        <w:t>Grants programs</w:t>
      </w:r>
      <w:bookmarkEnd w:id="183"/>
      <w:bookmarkEnd w:id="184"/>
    </w:p>
    <w:p w:rsidR="00FE4C46" w:rsidRPr="00395C65" w:rsidRDefault="00FA6C41" w:rsidP="00D21D48">
      <w:pPr>
        <w:pStyle w:val="bodytext"/>
      </w:pPr>
      <w:r w:rsidRPr="00FA6C41">
        <w:t>PSR does not administer any grants programs.</w:t>
      </w:r>
    </w:p>
    <w:p w:rsidR="00FA6C41" w:rsidRPr="00FA6C41" w:rsidRDefault="00FA6C41" w:rsidP="00FE4C46">
      <w:pPr>
        <w:pStyle w:val="Heading2"/>
      </w:pPr>
      <w:bookmarkStart w:id="185" w:name="_Toc275439508"/>
      <w:bookmarkStart w:id="186" w:name="_Toc276040210"/>
      <w:r w:rsidRPr="00FA6C41">
        <w:t>Ecologica</w:t>
      </w:r>
      <w:r w:rsidR="00FE4C46">
        <w:t xml:space="preserve">lly sustainable development and </w:t>
      </w:r>
      <w:r w:rsidRPr="00FA6C41">
        <w:t>environmental performance</w:t>
      </w:r>
      <w:bookmarkEnd w:id="185"/>
      <w:bookmarkEnd w:id="186"/>
    </w:p>
    <w:p w:rsidR="00FA6C41" w:rsidRPr="00FA6C41" w:rsidRDefault="00FA6C41" w:rsidP="00D21D48">
      <w:pPr>
        <w:pStyle w:val="bodytext"/>
      </w:pPr>
      <w:r w:rsidRPr="00FA6C41">
        <w:t xml:space="preserve">Section 516A of the </w:t>
      </w:r>
      <w:r w:rsidRPr="00FE4C46">
        <w:rPr>
          <w:i/>
        </w:rPr>
        <w:t>Environment Protection and Biodiversity Conservation Act 1999</w:t>
      </w:r>
      <w:r w:rsidRPr="00FA6C41">
        <w:t xml:space="preserve"> requires that PSR report its contribution to ecologically sustainable development.</w:t>
      </w:r>
    </w:p>
    <w:p w:rsidR="00FA6C41" w:rsidRPr="00FA6C41" w:rsidRDefault="00FA6C41" w:rsidP="00D21D48">
      <w:pPr>
        <w:pStyle w:val="bodytext"/>
      </w:pPr>
      <w:r w:rsidRPr="00FA6C41">
        <w:t xml:space="preserve">PSR’s small size and specific role limit its opportunities to contribute to ecologically sustainable development. However, PSR endeavours to reduce its energy costs and encourages ecologically sustainable practices, such as paper recycling and greater reliance on electronic records in preference to paper. </w:t>
      </w:r>
    </w:p>
    <w:p w:rsidR="00FA6C41" w:rsidRPr="00FA6C41" w:rsidRDefault="00FA6C41" w:rsidP="00D21D48">
      <w:pPr>
        <w:pStyle w:val="bodytext"/>
      </w:pPr>
      <w:r w:rsidRPr="00FA6C41">
        <w:t>Specific activities undertaken during 2013–14 to improve the agency’s environmental performance and reduce electricity consumption include the removal of individual heaters, the introduction of sensor light technology across the office and the installation of energy-efficient light bulbs.</w:t>
      </w:r>
    </w:p>
    <w:p w:rsidR="00FA6C41" w:rsidRPr="00FA6C41" w:rsidRDefault="00FA6C41" w:rsidP="004C030E">
      <w:pPr>
        <w:pStyle w:val="Heading2"/>
      </w:pPr>
      <w:bookmarkStart w:id="187" w:name="_Toc276040211"/>
      <w:r w:rsidRPr="00FA6C41">
        <w:t>Publications</w:t>
      </w:r>
      <w:bookmarkEnd w:id="187"/>
      <w:r w:rsidRPr="00FA6C41">
        <w:t xml:space="preserve"> </w:t>
      </w:r>
    </w:p>
    <w:p w:rsidR="00FA6C41" w:rsidRPr="00FA6C41" w:rsidRDefault="00FA6C41" w:rsidP="00D21D48">
      <w:pPr>
        <w:pStyle w:val="bodytext"/>
      </w:pPr>
      <w:r w:rsidRPr="00FA6C41">
        <w:t>PSR produced one publication in 2013–14:</w:t>
      </w:r>
    </w:p>
    <w:p w:rsidR="00FA6C41" w:rsidRPr="00FE4C46" w:rsidRDefault="00FA6C41" w:rsidP="004C030E">
      <w:pPr>
        <w:pStyle w:val="ListBullet"/>
        <w:rPr>
          <w:lang w:val="en-GB"/>
        </w:rPr>
      </w:pPr>
      <w:r w:rsidRPr="00FE4C46">
        <w:rPr>
          <w:lang w:val="en-GB"/>
        </w:rPr>
        <w:t>Annual Report 2012–13</w:t>
      </w:r>
    </w:p>
    <w:p w:rsidR="00FA6C41" w:rsidRPr="00FA6C41" w:rsidRDefault="00FA6C41" w:rsidP="00D21D48">
      <w:pPr>
        <w:pStyle w:val="bodytext"/>
      </w:pPr>
      <w:r w:rsidRPr="00FA6C41">
        <w:t>In response to recommendations 1, 2 and 3 of the final Senate Committee report, PSR launched a new website to ensure that changes in important information, regulations and policies affecting key stakeholders are regularly updated.</w:t>
      </w:r>
    </w:p>
    <w:p w:rsidR="00FA6C41" w:rsidRPr="00FA6C41" w:rsidRDefault="00FA6C41" w:rsidP="00D21D48">
      <w:pPr>
        <w:pStyle w:val="bodytext"/>
      </w:pPr>
      <w:r w:rsidRPr="00FA6C41">
        <w:t>The new website provides clear and accurate information on the PSR Scheme and the PSR Agency that is easily accessible by practitioners and members of the public. New components include:</w:t>
      </w:r>
    </w:p>
    <w:p w:rsidR="00FA6C41" w:rsidRPr="00FA6C41" w:rsidRDefault="00FA6C41" w:rsidP="00FA6C41">
      <w:pPr>
        <w:pStyle w:val="ListBullet"/>
        <w:rPr>
          <w:lang w:val="en-GB"/>
        </w:rPr>
      </w:pPr>
      <w:proofErr w:type="gramStart"/>
      <w:r w:rsidRPr="00FA6C41">
        <w:rPr>
          <w:lang w:val="en-GB"/>
        </w:rPr>
        <w:t>a</w:t>
      </w:r>
      <w:proofErr w:type="gramEnd"/>
      <w:r w:rsidRPr="00FA6C41">
        <w:rPr>
          <w:lang w:val="en-GB"/>
        </w:rPr>
        <w:t xml:space="preserve"> dedicated section for practitioners who have been referred under the PSR Scheme</w:t>
      </w:r>
    </w:p>
    <w:p w:rsidR="00FA6C41" w:rsidRPr="00FA6C41" w:rsidRDefault="00FA6C41" w:rsidP="00FA6C41">
      <w:pPr>
        <w:pStyle w:val="ListBullet"/>
        <w:rPr>
          <w:lang w:val="en-GB"/>
        </w:rPr>
      </w:pPr>
      <w:proofErr w:type="gramStart"/>
      <w:r w:rsidRPr="00FA6C41">
        <w:rPr>
          <w:lang w:val="en-GB"/>
        </w:rPr>
        <w:t>a</w:t>
      </w:r>
      <w:proofErr w:type="gramEnd"/>
      <w:r w:rsidRPr="00FA6C41">
        <w:rPr>
          <w:lang w:val="en-GB"/>
        </w:rPr>
        <w:t xml:space="preserve"> section on the PSR Agency outlining the administrative and support services it provides to enable the Director of PSR, PSR peer review committees and the Determining Authority to perform their legislated functions under the Act.</w:t>
      </w:r>
    </w:p>
    <w:p w:rsidR="00FA6C41" w:rsidRPr="00FA6C41" w:rsidRDefault="00FA6C41" w:rsidP="00FA6C41">
      <w:pPr>
        <w:pStyle w:val="ListBullet"/>
        <w:rPr>
          <w:lang w:val="en-GB"/>
        </w:rPr>
      </w:pPr>
      <w:proofErr w:type="gramStart"/>
      <w:r w:rsidRPr="00FA6C41">
        <w:rPr>
          <w:lang w:val="en-GB"/>
        </w:rPr>
        <w:t>a</w:t>
      </w:r>
      <w:proofErr w:type="gramEnd"/>
      <w:r w:rsidRPr="00FA6C41">
        <w:rPr>
          <w:lang w:val="en-GB"/>
        </w:rPr>
        <w:t xml:space="preserve"> comprehensive history of the PSR Scheme.</w:t>
      </w:r>
    </w:p>
    <w:p w:rsidR="00FA6C41" w:rsidRPr="00FA6C41" w:rsidRDefault="00FA6C41" w:rsidP="00FA6C41">
      <w:pPr>
        <w:pStyle w:val="ListBullet"/>
        <w:rPr>
          <w:lang w:val="en-GB"/>
        </w:rPr>
      </w:pPr>
      <w:proofErr w:type="gramStart"/>
      <w:r w:rsidRPr="00FA6C41">
        <w:rPr>
          <w:lang w:val="en-GB"/>
        </w:rPr>
        <w:t>published</w:t>
      </w:r>
      <w:proofErr w:type="gramEnd"/>
      <w:r w:rsidRPr="00FA6C41">
        <w:rPr>
          <w:lang w:val="en-GB"/>
        </w:rPr>
        <w:t xml:space="preserve"> and accessible appointment information, including instruments of appointment for the Director, PSR Panel and Determining Authority.</w:t>
      </w:r>
    </w:p>
    <w:p w:rsidR="00FA6C41" w:rsidRPr="00FA6C41" w:rsidRDefault="00FE4C46" w:rsidP="00E91480">
      <w:pPr>
        <w:pStyle w:val="Heading1"/>
      </w:pPr>
      <w:bookmarkStart w:id="188" w:name="_Toc275439509"/>
      <w:bookmarkStart w:id="189" w:name="_Toc276040212"/>
      <w:r>
        <w:t>Appendicies</w:t>
      </w:r>
      <w:bookmarkEnd w:id="188"/>
      <w:bookmarkEnd w:id="189"/>
    </w:p>
    <w:p w:rsidR="00FA6C41" w:rsidRPr="00FA6C41" w:rsidRDefault="00FA6C41" w:rsidP="00D21D48">
      <w:pPr>
        <w:pStyle w:val="bodytext"/>
      </w:pPr>
      <w:r w:rsidRPr="00FA6C41">
        <w:rPr>
          <w:rFonts w:ascii="SamoSansPro-Medium" w:hAnsi="SamoSansPro-Medium" w:cs="SamoSansPro-Medium"/>
        </w:rPr>
        <w:t>Appendix 1</w:t>
      </w:r>
      <w:r w:rsidRPr="00FA6C41">
        <w:t xml:space="preserve"> Resource statement and outcome summary 2013–14</w:t>
      </w:r>
    </w:p>
    <w:p w:rsidR="00FA6C41" w:rsidRPr="00FA6C41" w:rsidRDefault="00FA6C41" w:rsidP="00D21D48">
      <w:pPr>
        <w:pStyle w:val="bodytext"/>
      </w:pPr>
      <w:r w:rsidRPr="00FA6C41">
        <w:rPr>
          <w:rFonts w:ascii="SamoSansPro-Medium" w:hAnsi="SamoSansPro-Medium" w:cs="SamoSansPro-Medium"/>
        </w:rPr>
        <w:t>Appendix 2</w:t>
      </w:r>
      <w:r w:rsidRPr="00FA6C41">
        <w:t xml:space="preserve"> Financial statements</w:t>
      </w:r>
    </w:p>
    <w:p w:rsidR="00FA6C41" w:rsidRPr="00FA6C41" w:rsidRDefault="00FA6C41" w:rsidP="00D21D48">
      <w:pPr>
        <w:pStyle w:val="bodytext"/>
        <w:rPr>
          <w:rFonts w:ascii="SamoSansPro-Medium" w:hAnsi="SamoSansPro-Medium" w:cs="SamoSansPro-Medium"/>
          <w:color w:val="002171"/>
        </w:rPr>
      </w:pPr>
      <w:r w:rsidRPr="00FA6C41">
        <w:rPr>
          <w:rFonts w:ascii="SamoSansPro-Medium" w:hAnsi="SamoSansPro-Medium" w:cs="SamoSansPro-Medium"/>
        </w:rPr>
        <w:t>Appendix 3</w:t>
      </w:r>
      <w:r w:rsidRPr="00FA6C41">
        <w:t xml:space="preserve"> Freedom of information statement</w:t>
      </w:r>
    </w:p>
    <w:p w:rsidR="00FA6C41" w:rsidRPr="00FA6C41" w:rsidRDefault="00FA6C41" w:rsidP="00FA6C41">
      <w:pPr>
        <w:keepNext/>
        <w:keepLines/>
        <w:widowControl w:val="0"/>
        <w:suppressAutoHyphens/>
        <w:autoSpaceDE w:val="0"/>
        <w:autoSpaceDN w:val="0"/>
        <w:adjustRightInd w:val="0"/>
        <w:spacing w:before="200" w:line="264" w:lineRule="auto"/>
        <w:textAlignment w:val="center"/>
        <w:outlineLvl w:val="1"/>
        <w:rPr>
          <w:rFonts w:ascii="ArialNarrow-Bold" w:hAnsi="ArialNarrow-Bold" w:cs="ArialNarrow-Bold"/>
          <w:b/>
          <w:bCs/>
          <w:color w:val="000000"/>
          <w:sz w:val="26"/>
          <w:szCs w:val="26"/>
          <w:lang w:val="en-AU"/>
        </w:rPr>
      </w:pPr>
    </w:p>
    <w:p w:rsidR="00FA6C41" w:rsidRPr="00FA6C41" w:rsidRDefault="00FA6C41" w:rsidP="00FE4C46">
      <w:pPr>
        <w:pStyle w:val="Heading1"/>
      </w:pPr>
      <w:bookmarkStart w:id="190" w:name="_Toc275439510"/>
      <w:bookmarkStart w:id="191" w:name="_Toc276040213"/>
      <w:r w:rsidRPr="00FA6C41">
        <w:rPr>
          <w:rFonts w:ascii="SamoSansPro-Bold" w:hAnsi="SamoSansPro-Bold" w:cs="SamoSansPro-Bold"/>
        </w:rPr>
        <w:t>Appendix 1:</w:t>
      </w:r>
      <w:r w:rsidRPr="00FA6C41">
        <w:t xml:space="preserve"> Resource statement and </w:t>
      </w:r>
      <w:r w:rsidRPr="00FA6C41">
        <w:br/>
        <w:t>outcome summary 2013–14</w:t>
      </w:r>
      <w:bookmarkEnd w:id="190"/>
      <w:bookmarkEnd w:id="191"/>
    </w:p>
    <w:p w:rsidR="00FA6C41" w:rsidRPr="00FA6C41" w:rsidRDefault="00FA6C41" w:rsidP="00FE4C46">
      <w:pPr>
        <w:pStyle w:val="tabletitle"/>
      </w:pPr>
      <w:r w:rsidRPr="00FA6C41">
        <w:t>Table 9: Resource statement 2013–14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881"/>
        <w:gridCol w:w="2292"/>
        <w:gridCol w:w="1327"/>
        <w:gridCol w:w="2136"/>
      </w:tblGrid>
      <w:tr w:rsidR="00FA6C41" w:rsidRPr="00395C65">
        <w:trPr>
          <w:trHeight w:val="60"/>
        </w:trPr>
        <w:tc>
          <w:tcPr>
            <w:tcW w:w="2294" w:type="pct"/>
            <w:shd w:val="clear" w:color="auto" w:fill="365F91" w:themeFill="accent1" w:themeFillShade="BF"/>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1077"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jc w:val="right"/>
              <w:rPr>
                <w:color w:val="FFFFFF" w:themeColor="background1"/>
              </w:rPr>
            </w:pPr>
            <w:r w:rsidRPr="00D40F94">
              <w:rPr>
                <w:color w:val="FFFFFF" w:themeColor="background1"/>
              </w:rPr>
              <w:t xml:space="preserve">Actual available appropriations for 2013–14 ($’000) </w:t>
            </w:r>
            <w:r w:rsidRPr="00D40F94">
              <w:rPr>
                <w:color w:val="FFFFFF" w:themeColor="background1"/>
              </w:rPr>
              <w:br/>
              <w:t>(a)</w:t>
            </w:r>
          </w:p>
        </w:tc>
        <w:tc>
          <w:tcPr>
            <w:tcW w:w="624"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jc w:val="right"/>
              <w:rPr>
                <w:color w:val="FFFFFF" w:themeColor="background1"/>
              </w:rPr>
            </w:pPr>
            <w:r w:rsidRPr="00D40F94">
              <w:rPr>
                <w:color w:val="FFFFFF" w:themeColor="background1"/>
              </w:rPr>
              <w:t xml:space="preserve">Payments made 2013–14 ($’000) </w:t>
            </w:r>
            <w:r w:rsidRPr="00D40F94">
              <w:rPr>
                <w:color w:val="FFFFFF" w:themeColor="background1"/>
              </w:rPr>
              <w:br/>
              <w:t>(b)</w:t>
            </w:r>
          </w:p>
        </w:tc>
        <w:tc>
          <w:tcPr>
            <w:tcW w:w="1004"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jc w:val="right"/>
              <w:rPr>
                <w:color w:val="FFFFFF" w:themeColor="background1"/>
              </w:rPr>
            </w:pPr>
            <w:r w:rsidRPr="00D40F94">
              <w:rPr>
                <w:color w:val="FFFFFF" w:themeColor="background1"/>
              </w:rPr>
              <w:t>Balance remaining ($’000)</w:t>
            </w:r>
            <w:r w:rsidRPr="00D40F94">
              <w:rPr>
                <w:color w:val="FFFFFF" w:themeColor="background1"/>
              </w:rPr>
              <w:br/>
              <w:t>(a–b)</w:t>
            </w:r>
          </w:p>
        </w:tc>
      </w:tr>
      <w:tr w:rsidR="00FA6C41" w:rsidRPr="00395C65">
        <w:trPr>
          <w:trHeight w:val="283"/>
        </w:trPr>
        <w:tc>
          <w:tcPr>
            <w:tcW w:w="2294"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227" w:line="210" w:lineRule="atLeast"/>
              <w:textAlignment w:val="center"/>
              <w:rPr>
                <w:rFonts w:cs="Arial"/>
                <w:szCs w:val="22"/>
                <w:lang w:val="en-GB"/>
              </w:rPr>
            </w:pPr>
            <w:r w:rsidRPr="00395C65">
              <w:rPr>
                <w:rFonts w:cs="Arial"/>
                <w:szCs w:val="22"/>
                <w:lang w:val="en-GB"/>
              </w:rPr>
              <w:t>Ordinary annual services</w:t>
            </w:r>
            <w:r w:rsidRPr="00395C65">
              <w:rPr>
                <w:rFonts w:cs="Arial"/>
                <w:szCs w:val="22"/>
                <w:vertAlign w:val="superscript"/>
                <w:lang w:val="en-GB"/>
              </w:rPr>
              <w:t>1</w:t>
            </w:r>
          </w:p>
        </w:tc>
        <w:tc>
          <w:tcPr>
            <w:tcW w:w="1077"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624"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1004"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r>
      <w:tr w:rsidR="00FA6C41" w:rsidRPr="00395C65">
        <w:trPr>
          <w:trHeight w:val="283"/>
        </w:trPr>
        <w:tc>
          <w:tcPr>
            <w:tcW w:w="229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Departmental appropriation</w:t>
            </w:r>
          </w:p>
        </w:tc>
        <w:tc>
          <w:tcPr>
            <w:tcW w:w="1077" w:type="pct"/>
            <w:shd w:val="clear" w:color="auto" w:fill="auto"/>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624" w:type="pct"/>
            <w:shd w:val="clear" w:color="auto" w:fill="auto"/>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1004" w:type="pct"/>
            <w:shd w:val="clear" w:color="auto" w:fill="auto"/>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r>
      <w:tr w:rsidR="00FA6C41" w:rsidRPr="00395C65">
        <w:trPr>
          <w:trHeight w:val="283"/>
        </w:trPr>
        <w:tc>
          <w:tcPr>
            <w:tcW w:w="229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line="260" w:lineRule="atLeast"/>
              <w:ind w:left="283" w:hanging="283"/>
              <w:textAlignment w:val="center"/>
              <w:rPr>
                <w:rFonts w:cs="Arial"/>
                <w:color w:val="000000"/>
                <w:szCs w:val="22"/>
                <w:lang w:val="en-GB"/>
              </w:rPr>
            </w:pPr>
            <w:r w:rsidRPr="00395C65">
              <w:rPr>
                <w:rFonts w:cs="Arial"/>
                <w:color w:val="000000"/>
                <w:szCs w:val="22"/>
                <w:lang w:val="en-GB"/>
              </w:rPr>
              <w:tab/>
              <w:t>Departmental appropriation</w:t>
            </w:r>
            <w:r w:rsidRPr="00395C65">
              <w:rPr>
                <w:rFonts w:cs="Arial"/>
                <w:color w:val="000000"/>
                <w:szCs w:val="22"/>
                <w:vertAlign w:val="superscript"/>
                <w:lang w:val="en-GB"/>
              </w:rPr>
              <w:t>2</w:t>
            </w:r>
          </w:p>
        </w:tc>
        <w:tc>
          <w:tcPr>
            <w:tcW w:w="1077"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6,195</w:t>
            </w:r>
          </w:p>
        </w:tc>
        <w:tc>
          <w:tcPr>
            <w:tcW w:w="62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4,932</w:t>
            </w:r>
          </w:p>
        </w:tc>
        <w:tc>
          <w:tcPr>
            <w:tcW w:w="100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1,263</w:t>
            </w:r>
          </w:p>
        </w:tc>
      </w:tr>
      <w:tr w:rsidR="00FA6C41" w:rsidRPr="00395C65">
        <w:trPr>
          <w:trHeight w:val="283"/>
        </w:trPr>
        <w:tc>
          <w:tcPr>
            <w:tcW w:w="2294"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227" w:line="210" w:lineRule="atLeast"/>
              <w:textAlignment w:val="center"/>
              <w:rPr>
                <w:rFonts w:cs="Arial"/>
                <w:szCs w:val="22"/>
                <w:lang w:val="en-GB"/>
              </w:rPr>
            </w:pPr>
            <w:r w:rsidRPr="00395C65">
              <w:rPr>
                <w:rFonts w:cs="Arial"/>
                <w:szCs w:val="22"/>
                <w:lang w:val="en-GB"/>
              </w:rPr>
              <w:t>Other services</w:t>
            </w:r>
          </w:p>
        </w:tc>
        <w:tc>
          <w:tcPr>
            <w:tcW w:w="1077"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624"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1004"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r>
      <w:tr w:rsidR="00FA6C41" w:rsidRPr="00395C65">
        <w:trPr>
          <w:trHeight w:val="283"/>
        </w:trPr>
        <w:tc>
          <w:tcPr>
            <w:tcW w:w="229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Departmental non</w:t>
            </w:r>
            <w:r w:rsidRPr="00395C65">
              <w:rPr>
                <w:rFonts w:ascii="American Typewriter" w:hAnsi="American Typewriter" w:cs="American Typewriter"/>
                <w:color w:val="000000"/>
                <w:szCs w:val="22"/>
                <w:lang w:val="en-GB"/>
              </w:rPr>
              <w:t>‑</w:t>
            </w:r>
            <w:r w:rsidRPr="00395C65">
              <w:rPr>
                <w:rFonts w:cs="Arial"/>
                <w:color w:val="000000"/>
                <w:szCs w:val="22"/>
                <w:lang w:val="en-GB"/>
              </w:rPr>
              <w:t>operating</w:t>
            </w:r>
          </w:p>
        </w:tc>
        <w:tc>
          <w:tcPr>
            <w:tcW w:w="1077" w:type="pct"/>
            <w:shd w:val="clear" w:color="auto" w:fill="auto"/>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624" w:type="pct"/>
            <w:shd w:val="clear" w:color="auto" w:fill="auto"/>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1004" w:type="pct"/>
            <w:shd w:val="clear" w:color="auto" w:fill="auto"/>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r>
      <w:tr w:rsidR="00FA6C41" w:rsidRPr="00395C65">
        <w:trPr>
          <w:trHeight w:val="283"/>
        </w:trPr>
        <w:tc>
          <w:tcPr>
            <w:tcW w:w="229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line="260" w:lineRule="atLeast"/>
              <w:ind w:left="283" w:hanging="283"/>
              <w:textAlignment w:val="center"/>
              <w:rPr>
                <w:rFonts w:cs="Arial"/>
                <w:color w:val="000000"/>
                <w:szCs w:val="22"/>
                <w:lang w:val="en-GB"/>
              </w:rPr>
            </w:pPr>
            <w:r w:rsidRPr="00395C65">
              <w:rPr>
                <w:rFonts w:cs="Arial"/>
                <w:color w:val="000000"/>
                <w:szCs w:val="22"/>
                <w:lang w:val="en-GB"/>
              </w:rPr>
              <w:tab/>
              <w:t>Equity injections</w:t>
            </w:r>
          </w:p>
        </w:tc>
        <w:tc>
          <w:tcPr>
            <w:tcW w:w="1077"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w:t>
            </w:r>
          </w:p>
        </w:tc>
        <w:tc>
          <w:tcPr>
            <w:tcW w:w="62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w:t>
            </w:r>
          </w:p>
        </w:tc>
        <w:tc>
          <w:tcPr>
            <w:tcW w:w="100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w:t>
            </w:r>
          </w:p>
        </w:tc>
      </w:tr>
      <w:tr w:rsidR="00FA6C41" w:rsidRPr="00395C65">
        <w:trPr>
          <w:trHeight w:val="283"/>
        </w:trPr>
        <w:tc>
          <w:tcPr>
            <w:tcW w:w="229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line="260" w:lineRule="atLeast"/>
              <w:ind w:left="283" w:hanging="283"/>
              <w:textAlignment w:val="center"/>
              <w:rPr>
                <w:rFonts w:cs="Arial"/>
                <w:color w:val="000000"/>
                <w:szCs w:val="22"/>
                <w:lang w:val="en-GB"/>
              </w:rPr>
            </w:pPr>
            <w:r w:rsidRPr="00395C65">
              <w:rPr>
                <w:rFonts w:cs="Arial"/>
                <w:color w:val="000000"/>
                <w:szCs w:val="22"/>
                <w:lang w:val="en-GB"/>
              </w:rPr>
              <w:tab/>
              <w:t>Previous year’s outputs</w:t>
            </w:r>
          </w:p>
        </w:tc>
        <w:tc>
          <w:tcPr>
            <w:tcW w:w="1077"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w:t>
            </w:r>
          </w:p>
        </w:tc>
        <w:tc>
          <w:tcPr>
            <w:tcW w:w="62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w:t>
            </w:r>
          </w:p>
        </w:tc>
        <w:tc>
          <w:tcPr>
            <w:tcW w:w="100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w:t>
            </w:r>
          </w:p>
        </w:tc>
      </w:tr>
      <w:tr w:rsidR="00FA6C41" w:rsidRPr="00395C65">
        <w:trPr>
          <w:trHeight w:val="283"/>
        </w:trPr>
        <w:tc>
          <w:tcPr>
            <w:tcW w:w="229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Total other services</w:t>
            </w:r>
          </w:p>
        </w:tc>
        <w:tc>
          <w:tcPr>
            <w:tcW w:w="1077" w:type="pct"/>
            <w:shd w:val="clear" w:color="auto" w:fill="auto"/>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624" w:type="pct"/>
            <w:shd w:val="clear" w:color="auto" w:fill="auto"/>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1004" w:type="pct"/>
            <w:shd w:val="clear" w:color="auto" w:fill="auto"/>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r>
      <w:tr w:rsidR="00FA6C41" w:rsidRPr="00395C65">
        <w:trPr>
          <w:trHeight w:val="283"/>
        </w:trPr>
        <w:tc>
          <w:tcPr>
            <w:tcW w:w="229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cs="Arial"/>
                <w:color w:val="000000"/>
                <w:szCs w:val="22"/>
                <w:lang w:val="en-GB"/>
              </w:rPr>
            </w:pPr>
            <w:r w:rsidRPr="00395C65">
              <w:rPr>
                <w:rFonts w:cs="Arial"/>
                <w:color w:val="000000"/>
                <w:szCs w:val="22"/>
                <w:lang w:val="en-GB"/>
              </w:rPr>
              <w:t>Total resourcing and payments</w:t>
            </w:r>
          </w:p>
        </w:tc>
        <w:tc>
          <w:tcPr>
            <w:tcW w:w="1077"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6,195</w:t>
            </w:r>
          </w:p>
        </w:tc>
        <w:tc>
          <w:tcPr>
            <w:tcW w:w="62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4,932</w:t>
            </w:r>
          </w:p>
        </w:tc>
        <w:tc>
          <w:tcPr>
            <w:tcW w:w="100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cs="Arial"/>
                <w:color w:val="000000"/>
                <w:szCs w:val="22"/>
                <w:lang w:val="en-GB"/>
              </w:rPr>
            </w:pPr>
            <w:r w:rsidRPr="00395C65">
              <w:rPr>
                <w:rFonts w:cs="Arial"/>
                <w:color w:val="000000"/>
                <w:szCs w:val="22"/>
                <w:lang w:val="en-GB"/>
              </w:rPr>
              <w:t>1,263</w:t>
            </w:r>
          </w:p>
        </w:tc>
      </w:tr>
    </w:tbl>
    <w:p w:rsidR="00FA6C41" w:rsidRPr="00FA6C41" w:rsidRDefault="00FA6C41" w:rsidP="00FE4C46">
      <w:pPr>
        <w:pStyle w:val="tablenotes"/>
      </w:pPr>
      <w:r w:rsidRPr="00FA6C41">
        <w:t>All figures are GST exclusive.</w:t>
      </w:r>
      <w:r w:rsidRPr="00FA6C41">
        <w:br/>
        <w:t xml:space="preserve">1 Appropriation Acts (No 1) 2013–14 </w:t>
      </w:r>
      <w:r w:rsidRPr="00FA6C41">
        <w:br/>
        <w:t>2 Includes an amount of $0.455 million for the departmental capital budget</w:t>
      </w:r>
    </w:p>
    <w:p w:rsidR="00FA6C41" w:rsidRPr="00FA6C41" w:rsidRDefault="00FA6C41" w:rsidP="00FE4C46">
      <w:pPr>
        <w:pStyle w:val="tabletitle"/>
        <w:rPr>
          <w:rFonts w:ascii="ArialNarrow" w:hAnsi="ArialNarrow" w:cs="ArialNarrow"/>
          <w:color w:val="000000"/>
          <w:sz w:val="20"/>
          <w:szCs w:val="20"/>
        </w:rPr>
      </w:pPr>
      <w:r w:rsidRPr="00FA6C41">
        <w:t>Table 10: Resource summary, Outcome 1: A reduction of the risks to patients and costs to the Australian Government of inappropriate clinical practice, including through investigating health services claimed under Medicare and the Pharmaceutical Benefits Scheme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057"/>
        <w:gridCol w:w="1861"/>
        <w:gridCol w:w="1861"/>
        <w:gridCol w:w="1857"/>
      </w:tblGrid>
      <w:tr w:rsidR="00FA6C41" w:rsidRPr="00D40F94">
        <w:trPr>
          <w:trHeight w:val="60"/>
        </w:trPr>
        <w:tc>
          <w:tcPr>
            <w:tcW w:w="2377" w:type="pct"/>
            <w:shd w:val="clear" w:color="auto" w:fill="365F91" w:themeFill="accent1" w:themeFillShade="BF"/>
            <w:tcMar>
              <w:top w:w="85" w:type="dxa"/>
              <w:left w:w="85" w:type="dxa"/>
              <w:bottom w:w="85" w:type="dxa"/>
              <w:right w:w="85" w:type="dxa"/>
            </w:tcMar>
          </w:tcPr>
          <w:p w:rsidR="00FA6C41" w:rsidRPr="00395C65" w:rsidRDefault="00FA6C41" w:rsidP="00FA6C41">
            <w:pPr>
              <w:widowControl w:val="0"/>
              <w:autoSpaceDE w:val="0"/>
              <w:autoSpaceDN w:val="0"/>
              <w:adjustRightInd w:val="0"/>
              <w:rPr>
                <w:rFonts w:ascii="ArialNarrow" w:hAnsi="ArialNarrow" w:cs="Times New Roman"/>
                <w:szCs w:val="22"/>
              </w:rPr>
            </w:pPr>
          </w:p>
        </w:tc>
        <w:tc>
          <w:tcPr>
            <w:tcW w:w="875"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jc w:val="right"/>
              <w:rPr>
                <w:color w:val="FFFFFF" w:themeColor="background1"/>
              </w:rPr>
            </w:pPr>
            <w:r w:rsidRPr="00D40F94">
              <w:rPr>
                <w:color w:val="FFFFFF" w:themeColor="background1"/>
              </w:rPr>
              <w:t>Budget</w:t>
            </w:r>
            <w:r w:rsidRPr="00D40F94">
              <w:rPr>
                <w:color w:val="FFFFFF" w:themeColor="background1"/>
              </w:rPr>
              <w:br/>
              <w:t xml:space="preserve">2013–14 </w:t>
            </w:r>
            <w:r w:rsidRPr="00D40F94">
              <w:rPr>
                <w:color w:val="FFFFFF" w:themeColor="background1"/>
              </w:rPr>
              <w:br/>
              <w:t>$’000</w:t>
            </w:r>
            <w:r w:rsidRPr="00D40F94">
              <w:rPr>
                <w:color w:val="FFFFFF" w:themeColor="background1"/>
              </w:rPr>
              <w:br/>
              <w:t>(a)</w:t>
            </w:r>
          </w:p>
        </w:tc>
        <w:tc>
          <w:tcPr>
            <w:tcW w:w="875"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jc w:val="right"/>
              <w:rPr>
                <w:color w:val="FFFFFF" w:themeColor="background1"/>
              </w:rPr>
            </w:pPr>
            <w:r w:rsidRPr="00D40F94">
              <w:rPr>
                <w:color w:val="FFFFFF" w:themeColor="background1"/>
              </w:rPr>
              <w:t xml:space="preserve">Actual expenses </w:t>
            </w:r>
            <w:r w:rsidRPr="00D40F94">
              <w:rPr>
                <w:color w:val="FFFFFF" w:themeColor="background1"/>
              </w:rPr>
              <w:br/>
              <w:t xml:space="preserve">2013–14 </w:t>
            </w:r>
            <w:r w:rsidRPr="00D40F94">
              <w:rPr>
                <w:color w:val="FFFFFF" w:themeColor="background1"/>
              </w:rPr>
              <w:br/>
              <w:t xml:space="preserve">$’000 </w:t>
            </w:r>
            <w:r w:rsidRPr="00D40F94">
              <w:rPr>
                <w:color w:val="FFFFFF" w:themeColor="background1"/>
              </w:rPr>
              <w:br/>
              <w:t>(b)</w:t>
            </w:r>
          </w:p>
        </w:tc>
        <w:tc>
          <w:tcPr>
            <w:tcW w:w="874"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jc w:val="right"/>
              <w:rPr>
                <w:color w:val="FFFFFF" w:themeColor="background1"/>
              </w:rPr>
            </w:pPr>
            <w:r w:rsidRPr="00D40F94">
              <w:rPr>
                <w:color w:val="FFFFFF" w:themeColor="background1"/>
              </w:rPr>
              <w:t xml:space="preserve">Variation </w:t>
            </w:r>
            <w:r w:rsidRPr="00D40F94">
              <w:rPr>
                <w:color w:val="FFFFFF" w:themeColor="background1"/>
              </w:rPr>
              <w:br/>
              <w:t xml:space="preserve">$’000 </w:t>
            </w:r>
            <w:r w:rsidRPr="00D40F94">
              <w:rPr>
                <w:color w:val="FFFFFF" w:themeColor="background1"/>
              </w:rPr>
              <w:br/>
              <w:t>(a)–(b)</w:t>
            </w:r>
          </w:p>
        </w:tc>
      </w:tr>
      <w:tr w:rsidR="00FA6C41" w:rsidRPr="00FA6C41">
        <w:trPr>
          <w:trHeight w:val="60"/>
        </w:trPr>
        <w:tc>
          <w:tcPr>
            <w:tcW w:w="2377" w:type="pct"/>
            <w:shd w:val="clear" w:color="auto" w:fill="B8CCE4" w:themeFill="accent1" w:themeFillTint="66"/>
            <w:tcMar>
              <w:top w:w="85" w:type="dxa"/>
              <w:left w:w="85" w:type="dxa"/>
              <w:bottom w:w="85" w:type="dxa"/>
              <w:right w:w="85" w:type="dxa"/>
            </w:tcMar>
          </w:tcPr>
          <w:p w:rsidR="00FA6C41" w:rsidRPr="00395C65" w:rsidRDefault="00FA6C41" w:rsidP="00D40F94">
            <w:pPr>
              <w:pStyle w:val="bodytext"/>
            </w:pPr>
            <w:r w:rsidRPr="00395C65">
              <w:t>Program 1.1: Safeguarding the integrity of the Medicare program and Pharmaceutical Benefits Scheme</w:t>
            </w:r>
          </w:p>
        </w:tc>
        <w:tc>
          <w:tcPr>
            <w:tcW w:w="875"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autoSpaceDE w:val="0"/>
              <w:autoSpaceDN w:val="0"/>
              <w:adjustRightInd w:val="0"/>
              <w:rPr>
                <w:rFonts w:ascii="ArialNarrow" w:hAnsi="ArialNarrow" w:cs="Times New Roman"/>
                <w:szCs w:val="22"/>
              </w:rPr>
            </w:pPr>
          </w:p>
        </w:tc>
        <w:tc>
          <w:tcPr>
            <w:tcW w:w="875"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autoSpaceDE w:val="0"/>
              <w:autoSpaceDN w:val="0"/>
              <w:adjustRightInd w:val="0"/>
              <w:rPr>
                <w:rFonts w:ascii="ArialNarrow" w:hAnsi="ArialNarrow" w:cs="Times New Roman"/>
                <w:szCs w:val="22"/>
              </w:rPr>
            </w:pPr>
          </w:p>
        </w:tc>
        <w:tc>
          <w:tcPr>
            <w:tcW w:w="874" w:type="pct"/>
            <w:shd w:val="clear" w:color="auto" w:fill="B8CCE4" w:themeFill="accent1" w:themeFillTint="66"/>
            <w:tcMar>
              <w:top w:w="85" w:type="dxa"/>
              <w:left w:w="85" w:type="dxa"/>
              <w:bottom w:w="85" w:type="dxa"/>
              <w:right w:w="85" w:type="dxa"/>
            </w:tcMar>
          </w:tcPr>
          <w:p w:rsidR="00FA6C41" w:rsidRPr="00395C65" w:rsidRDefault="00FA6C41" w:rsidP="00FA6C41">
            <w:pPr>
              <w:widowControl w:val="0"/>
              <w:autoSpaceDE w:val="0"/>
              <w:autoSpaceDN w:val="0"/>
              <w:adjustRightInd w:val="0"/>
              <w:rPr>
                <w:rFonts w:ascii="ArialNarrow" w:hAnsi="ArialNarrow" w:cs="Times New Roman"/>
                <w:szCs w:val="22"/>
              </w:rPr>
            </w:pPr>
          </w:p>
        </w:tc>
      </w:tr>
      <w:tr w:rsidR="00FA6C41" w:rsidRPr="00FA6C41">
        <w:trPr>
          <w:trHeight w:val="283"/>
        </w:trPr>
        <w:tc>
          <w:tcPr>
            <w:tcW w:w="2377"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textAlignment w:val="center"/>
              <w:rPr>
                <w:rFonts w:ascii="SamoSansPro-Light" w:hAnsi="SamoSansPro-Light" w:cs="SamoSansPro-Light"/>
                <w:color w:val="000000"/>
                <w:szCs w:val="22"/>
                <w:lang w:val="en-GB"/>
              </w:rPr>
            </w:pPr>
            <w:r w:rsidRPr="00395C65">
              <w:rPr>
                <w:rFonts w:ascii="SamoSansPro-Light" w:hAnsi="SamoSansPro-Light" w:cs="SamoSansPro-Light"/>
                <w:color w:val="000000"/>
                <w:szCs w:val="22"/>
                <w:lang w:val="en-GB"/>
              </w:rPr>
              <w:t xml:space="preserve">Departmental outputs </w:t>
            </w:r>
          </w:p>
        </w:tc>
        <w:tc>
          <w:tcPr>
            <w:tcW w:w="875"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395C65">
              <w:rPr>
                <w:rFonts w:ascii="SamoSansPro-Light" w:hAnsi="SamoSansPro-Light" w:cs="SamoSansPro-Light"/>
                <w:color w:val="000000"/>
                <w:szCs w:val="22"/>
                <w:lang w:val="en-GB"/>
              </w:rPr>
              <w:t>5,740</w:t>
            </w:r>
          </w:p>
        </w:tc>
        <w:tc>
          <w:tcPr>
            <w:tcW w:w="875"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395C65">
              <w:rPr>
                <w:rFonts w:ascii="SamoSansPro-Light" w:hAnsi="SamoSansPro-Light" w:cs="SamoSansPro-Light"/>
                <w:color w:val="000000"/>
                <w:szCs w:val="22"/>
                <w:lang w:val="en-GB"/>
              </w:rPr>
              <w:t>4,861</w:t>
            </w:r>
          </w:p>
        </w:tc>
        <w:tc>
          <w:tcPr>
            <w:tcW w:w="874" w:type="pct"/>
            <w:shd w:val="clear" w:color="auto" w:fill="auto"/>
            <w:tcMar>
              <w:top w:w="85" w:type="dxa"/>
              <w:left w:w="85" w:type="dxa"/>
              <w:bottom w:w="85" w:type="dxa"/>
              <w:right w:w="85" w:type="dxa"/>
            </w:tcMar>
          </w:tcPr>
          <w:p w:rsidR="00FA6C41" w:rsidRPr="00395C65" w:rsidRDefault="00FA6C41" w:rsidP="00FA6C41">
            <w:pPr>
              <w:widowControl w:val="0"/>
              <w:suppressAutoHyphens/>
              <w:autoSpaceDE w:val="0"/>
              <w:autoSpaceDN w:val="0"/>
              <w:adjustRightInd w:val="0"/>
              <w:spacing w:before="57" w:after="57" w:line="210" w:lineRule="atLeast"/>
              <w:jc w:val="right"/>
              <w:textAlignment w:val="center"/>
              <w:rPr>
                <w:rFonts w:ascii="SamoSansPro-Light" w:hAnsi="SamoSansPro-Light" w:cs="SamoSansPro-Light"/>
                <w:color w:val="000000"/>
                <w:szCs w:val="22"/>
                <w:lang w:val="en-GB"/>
              </w:rPr>
            </w:pPr>
            <w:r w:rsidRPr="00395C65">
              <w:rPr>
                <w:rFonts w:ascii="SamoSansPro-Light" w:hAnsi="SamoSansPro-Light" w:cs="SamoSansPro-Light"/>
                <w:color w:val="000000"/>
                <w:szCs w:val="22"/>
                <w:lang w:val="en-GB"/>
              </w:rPr>
              <w:t>879</w:t>
            </w:r>
          </w:p>
        </w:tc>
      </w:tr>
      <w:tr w:rsidR="00FA6C41" w:rsidRPr="00FA6C41">
        <w:trPr>
          <w:trHeight w:val="283"/>
        </w:trPr>
        <w:tc>
          <w:tcPr>
            <w:tcW w:w="2377" w:type="pct"/>
            <w:shd w:val="clear" w:color="auto" w:fill="auto"/>
            <w:tcMar>
              <w:top w:w="85" w:type="dxa"/>
              <w:left w:w="85" w:type="dxa"/>
              <w:bottom w:w="85" w:type="dxa"/>
              <w:right w:w="85" w:type="dxa"/>
            </w:tcMar>
          </w:tcPr>
          <w:p w:rsidR="00FA6C41" w:rsidRPr="00395C65" w:rsidRDefault="00FA6C41" w:rsidP="00D40F94">
            <w:pPr>
              <w:pStyle w:val="bodytext"/>
              <w:rPr>
                <w:rFonts w:ascii="SamoSansPro-Light" w:hAnsi="SamoSansPro-Light"/>
              </w:rPr>
            </w:pPr>
            <w:r w:rsidRPr="00395C65">
              <w:t>Average staffing level (number)</w:t>
            </w:r>
          </w:p>
        </w:tc>
        <w:tc>
          <w:tcPr>
            <w:tcW w:w="875" w:type="pct"/>
            <w:shd w:val="clear" w:color="auto" w:fill="auto"/>
            <w:tcMar>
              <w:top w:w="85" w:type="dxa"/>
              <w:left w:w="85" w:type="dxa"/>
              <w:bottom w:w="85" w:type="dxa"/>
              <w:right w:w="85" w:type="dxa"/>
            </w:tcMar>
          </w:tcPr>
          <w:p w:rsidR="00FA6C41" w:rsidRPr="00395C65" w:rsidRDefault="00FA6C41" w:rsidP="00D40F94">
            <w:pPr>
              <w:pStyle w:val="bodytext"/>
              <w:jc w:val="right"/>
              <w:rPr>
                <w:rFonts w:ascii="SamoSansPro-Light" w:hAnsi="SamoSansPro-Light"/>
              </w:rPr>
            </w:pPr>
            <w:r w:rsidRPr="00395C65">
              <w:rPr>
                <w:rFonts w:ascii="SamoSansPro-Light" w:hAnsi="SamoSansPro-Light"/>
              </w:rPr>
              <w:t>23</w:t>
            </w:r>
          </w:p>
        </w:tc>
        <w:tc>
          <w:tcPr>
            <w:tcW w:w="875" w:type="pct"/>
            <w:shd w:val="clear" w:color="auto" w:fill="auto"/>
            <w:tcMar>
              <w:top w:w="85" w:type="dxa"/>
              <w:left w:w="85" w:type="dxa"/>
              <w:bottom w:w="85" w:type="dxa"/>
              <w:right w:w="85" w:type="dxa"/>
            </w:tcMar>
          </w:tcPr>
          <w:p w:rsidR="00FA6C41" w:rsidRPr="00395C65" w:rsidRDefault="00FA6C41" w:rsidP="00D40F94">
            <w:pPr>
              <w:pStyle w:val="bodytext"/>
              <w:jc w:val="right"/>
              <w:rPr>
                <w:rFonts w:ascii="SamoSansPro-Light" w:hAnsi="SamoSansPro-Light"/>
              </w:rPr>
            </w:pPr>
            <w:r w:rsidRPr="00395C65">
              <w:rPr>
                <w:rFonts w:ascii="SamoSansPro-Light" w:hAnsi="SamoSansPro-Light"/>
              </w:rPr>
              <w:t>18</w:t>
            </w:r>
          </w:p>
        </w:tc>
        <w:tc>
          <w:tcPr>
            <w:tcW w:w="874" w:type="pct"/>
            <w:shd w:val="clear" w:color="auto" w:fill="auto"/>
            <w:tcMar>
              <w:top w:w="85" w:type="dxa"/>
              <w:left w:w="85" w:type="dxa"/>
              <w:bottom w:w="85" w:type="dxa"/>
              <w:right w:w="85" w:type="dxa"/>
            </w:tcMar>
          </w:tcPr>
          <w:p w:rsidR="00FA6C41" w:rsidRPr="00395C65" w:rsidRDefault="00FA6C41" w:rsidP="00D40F94">
            <w:pPr>
              <w:pStyle w:val="bodytext"/>
              <w:jc w:val="right"/>
              <w:rPr>
                <w:rFonts w:ascii="SamoSansPro-Light" w:hAnsi="SamoSansPro-Light"/>
              </w:rPr>
            </w:pPr>
            <w:r w:rsidRPr="00395C65">
              <w:rPr>
                <w:rFonts w:ascii="SamoSansPro-Light" w:hAnsi="SamoSansPro-Light"/>
              </w:rPr>
              <w:t>5</w:t>
            </w:r>
          </w:p>
        </w:tc>
      </w:tr>
    </w:tbl>
    <w:p w:rsidR="00FA6C41" w:rsidRPr="00FA6C41" w:rsidRDefault="00FA6C41" w:rsidP="00FA6C41">
      <w:pPr>
        <w:widowControl w:val="0"/>
        <w:suppressAutoHyphens/>
        <w:autoSpaceDE w:val="0"/>
        <w:autoSpaceDN w:val="0"/>
        <w:adjustRightInd w:val="0"/>
        <w:spacing w:line="288" w:lineRule="auto"/>
        <w:textAlignment w:val="center"/>
        <w:rPr>
          <w:rFonts w:ascii="ArialNarrow-Bold" w:hAnsi="ArialNarrow-Bold" w:cs="ArialNarrow-Bold"/>
          <w:b/>
          <w:bCs/>
          <w:color w:val="000000"/>
          <w:sz w:val="28"/>
          <w:szCs w:val="28"/>
          <w:lang w:val="en-AU"/>
        </w:rPr>
      </w:pPr>
    </w:p>
    <w:p w:rsidR="00FA6C41" w:rsidRPr="00FA6C41" w:rsidRDefault="00FA6C41" w:rsidP="00FA6C41">
      <w:pPr>
        <w:widowControl w:val="0"/>
        <w:suppressAutoHyphens/>
        <w:autoSpaceDE w:val="0"/>
        <w:autoSpaceDN w:val="0"/>
        <w:adjustRightInd w:val="0"/>
        <w:spacing w:after="200" w:line="264" w:lineRule="auto"/>
        <w:textAlignment w:val="center"/>
        <w:rPr>
          <w:rFonts w:ascii="ArialNarrow-Bold" w:hAnsi="ArialNarrow-Bold" w:cs="ArialNarrow-Bold"/>
          <w:b/>
          <w:bCs/>
          <w:color w:val="000000"/>
          <w:sz w:val="28"/>
          <w:szCs w:val="28"/>
          <w:lang w:val="en-AU"/>
        </w:rPr>
      </w:pPr>
    </w:p>
    <w:p w:rsidR="00FA6C41" w:rsidRPr="00FA6C41" w:rsidRDefault="00FA6C41" w:rsidP="00E91480">
      <w:pPr>
        <w:pStyle w:val="Heading1"/>
      </w:pPr>
      <w:bookmarkStart w:id="192" w:name="_Toc275439511"/>
      <w:bookmarkStart w:id="193" w:name="_Toc276040214"/>
      <w:r w:rsidRPr="00E91480">
        <w:t>Appendix 2:</w:t>
      </w:r>
      <w:r w:rsidRPr="00FA6C41">
        <w:rPr>
          <w:rFonts w:ascii="SamoSansPro-Bold" w:hAnsi="SamoSansPro-Bold" w:cs="SamoSansPro-Bold"/>
        </w:rPr>
        <w:t xml:space="preserve"> </w:t>
      </w:r>
      <w:r w:rsidRPr="00FA6C41">
        <w:t>Financial Statements</w:t>
      </w:r>
      <w:bookmarkEnd w:id="192"/>
      <w:bookmarkEnd w:id="193"/>
      <w:r w:rsidRPr="00FA6C41">
        <w:t xml:space="preserve"> </w:t>
      </w:r>
    </w:p>
    <w:p w:rsidR="00FA6C41" w:rsidRPr="00FA6C41" w:rsidRDefault="00FA6C41" w:rsidP="00FE4C46">
      <w:pPr>
        <w:pStyle w:val="Heading2"/>
        <w:rPr>
          <w:rFonts w:ascii="ArialNarrow" w:hAnsi="ArialNarrow" w:cs="ArialNarrow"/>
        </w:rPr>
      </w:pPr>
      <w:bookmarkStart w:id="194" w:name="_Toc275439512"/>
      <w:bookmarkStart w:id="195" w:name="_Toc276039608"/>
      <w:bookmarkStart w:id="196" w:name="_Toc276039973"/>
      <w:bookmarkStart w:id="197" w:name="_Toc276040215"/>
      <w:r w:rsidRPr="00FA6C41">
        <w:t>Financial Statements</w:t>
      </w:r>
      <w:bookmarkEnd w:id="194"/>
      <w:bookmarkEnd w:id="195"/>
      <w:bookmarkEnd w:id="196"/>
      <w:bookmarkEnd w:id="197"/>
    </w:p>
    <w:p w:rsidR="00FA6C41" w:rsidRPr="00FA6C41" w:rsidRDefault="00FA6C41" w:rsidP="00D40F94">
      <w:pPr>
        <w:pStyle w:val="bodytext"/>
      </w:pPr>
      <w:r w:rsidRPr="00FA6C41">
        <w:t>Independent Audit Report</w:t>
      </w:r>
    </w:p>
    <w:p w:rsidR="00FA6C41" w:rsidRPr="00FA6C41" w:rsidRDefault="00FA6C41" w:rsidP="00D40F94">
      <w:pPr>
        <w:pStyle w:val="bodytext"/>
      </w:pPr>
      <w:r w:rsidRPr="00FA6C41">
        <w:t>Statement by Chief Executive and Chief Financial Officer</w:t>
      </w:r>
    </w:p>
    <w:p w:rsidR="00FA6C41" w:rsidRPr="00FA6C41" w:rsidRDefault="00FA6C41" w:rsidP="00D40F94">
      <w:pPr>
        <w:pStyle w:val="bodytext"/>
      </w:pPr>
      <w:r w:rsidRPr="00FA6C41">
        <w:t>Statement of Comprehensive Income</w:t>
      </w:r>
    </w:p>
    <w:p w:rsidR="00FA6C41" w:rsidRPr="00FA6C41" w:rsidRDefault="00FA6C41" w:rsidP="00D40F94">
      <w:pPr>
        <w:pStyle w:val="bodytext"/>
      </w:pPr>
      <w:r w:rsidRPr="00FA6C41">
        <w:t>Statement of Financial Position</w:t>
      </w:r>
    </w:p>
    <w:p w:rsidR="00FA6C41" w:rsidRPr="00FA6C41" w:rsidRDefault="00FA6C41" w:rsidP="00D40F94">
      <w:pPr>
        <w:pStyle w:val="bodytext"/>
      </w:pPr>
      <w:r w:rsidRPr="00FA6C41">
        <w:t>Statement of Changes in Equity</w:t>
      </w:r>
    </w:p>
    <w:p w:rsidR="00FA6C41" w:rsidRPr="00FA6C41" w:rsidRDefault="00FA6C41" w:rsidP="00D40F94">
      <w:pPr>
        <w:pStyle w:val="bodytext"/>
      </w:pPr>
      <w:r w:rsidRPr="00FA6C41">
        <w:t>Cash Flow Statement</w:t>
      </w:r>
    </w:p>
    <w:p w:rsidR="00FA6C41" w:rsidRPr="00FA6C41" w:rsidRDefault="00FA6C41" w:rsidP="00D40F94">
      <w:pPr>
        <w:pStyle w:val="bodytext"/>
      </w:pPr>
      <w:r w:rsidRPr="00FA6C41">
        <w:t>Schedule of Commitments</w:t>
      </w:r>
    </w:p>
    <w:p w:rsidR="00FA6C41" w:rsidRPr="00FA6C41" w:rsidRDefault="00FA6C41" w:rsidP="00D40F94">
      <w:pPr>
        <w:pStyle w:val="bodytext"/>
      </w:pPr>
      <w:r w:rsidRPr="00FA6C41">
        <w:t>Schedule of Contingencies</w:t>
      </w:r>
    </w:p>
    <w:p w:rsidR="00FA6C41" w:rsidRPr="00FA6C41" w:rsidRDefault="00FA6C41" w:rsidP="00D40F94">
      <w:pPr>
        <w:pStyle w:val="bodytext"/>
      </w:pPr>
      <w:r w:rsidRPr="00FA6C41">
        <w:t xml:space="preserve">Note 1: </w:t>
      </w:r>
      <w:r w:rsidRPr="00FA6C41">
        <w:tab/>
        <w:t>Summary of Significant Accounting Policies</w:t>
      </w:r>
    </w:p>
    <w:p w:rsidR="00FA6C41" w:rsidRPr="00FA6C41" w:rsidRDefault="00FA6C41" w:rsidP="00D40F94">
      <w:pPr>
        <w:pStyle w:val="bodytext"/>
      </w:pPr>
      <w:r w:rsidRPr="00FA6C41">
        <w:t xml:space="preserve">Note 2: </w:t>
      </w:r>
      <w:r w:rsidRPr="00FA6C41">
        <w:tab/>
        <w:t>Events After the Reporting Period</w:t>
      </w:r>
    </w:p>
    <w:p w:rsidR="00FA6C41" w:rsidRPr="00FA6C41" w:rsidRDefault="00FA6C41" w:rsidP="00D40F94">
      <w:pPr>
        <w:pStyle w:val="bodytext"/>
      </w:pPr>
      <w:r w:rsidRPr="00FA6C41">
        <w:t xml:space="preserve">Note 3: </w:t>
      </w:r>
      <w:r w:rsidRPr="00FA6C41">
        <w:tab/>
        <w:t>Expenses</w:t>
      </w:r>
    </w:p>
    <w:p w:rsidR="00FA6C41" w:rsidRPr="00FA6C41" w:rsidRDefault="00FA6C41" w:rsidP="00D40F94">
      <w:pPr>
        <w:pStyle w:val="bodytext"/>
      </w:pPr>
      <w:r w:rsidRPr="00FA6C41">
        <w:t xml:space="preserve">Note 4: </w:t>
      </w:r>
      <w:r w:rsidRPr="00FA6C41">
        <w:tab/>
        <w:t>Income</w:t>
      </w:r>
    </w:p>
    <w:p w:rsidR="00FA6C41" w:rsidRPr="00FA6C41" w:rsidRDefault="00FA6C41" w:rsidP="00D40F94">
      <w:pPr>
        <w:pStyle w:val="bodytext"/>
      </w:pPr>
      <w:r w:rsidRPr="00FA6C41">
        <w:t xml:space="preserve">Note 5: </w:t>
      </w:r>
      <w:r w:rsidRPr="00FA6C41">
        <w:tab/>
        <w:t>Fair Value Measurements</w:t>
      </w:r>
    </w:p>
    <w:p w:rsidR="00FA6C41" w:rsidRPr="00FA6C41" w:rsidRDefault="00FA6C41" w:rsidP="00D40F94">
      <w:pPr>
        <w:pStyle w:val="bodytext"/>
      </w:pPr>
      <w:r w:rsidRPr="00FA6C41">
        <w:t xml:space="preserve">Note 6: </w:t>
      </w:r>
      <w:r w:rsidRPr="00FA6C41">
        <w:tab/>
        <w:t>Financial Assets</w:t>
      </w:r>
    </w:p>
    <w:p w:rsidR="00FA6C41" w:rsidRPr="00FA6C41" w:rsidRDefault="00FA6C41" w:rsidP="00D40F94">
      <w:pPr>
        <w:pStyle w:val="bodytext"/>
      </w:pPr>
      <w:r w:rsidRPr="00FA6C41">
        <w:t xml:space="preserve">Note 7: </w:t>
      </w:r>
      <w:r w:rsidRPr="00FA6C41">
        <w:tab/>
      </w:r>
      <w:proofErr w:type="gramStart"/>
      <w:r w:rsidRPr="00FA6C41">
        <w:t>Non Financial</w:t>
      </w:r>
      <w:proofErr w:type="gramEnd"/>
      <w:r w:rsidRPr="00FA6C41">
        <w:t xml:space="preserve"> Assets</w:t>
      </w:r>
    </w:p>
    <w:p w:rsidR="00FA6C41" w:rsidRPr="00FA6C41" w:rsidRDefault="00FA6C41" w:rsidP="00D40F94">
      <w:pPr>
        <w:pStyle w:val="bodytext"/>
      </w:pPr>
      <w:r w:rsidRPr="00FA6C41">
        <w:t xml:space="preserve">Note 8: </w:t>
      </w:r>
      <w:r w:rsidRPr="00FA6C41">
        <w:tab/>
        <w:t>Payables</w:t>
      </w:r>
    </w:p>
    <w:p w:rsidR="00FA6C41" w:rsidRPr="00FA6C41" w:rsidRDefault="00FA6C41" w:rsidP="00D40F94">
      <w:pPr>
        <w:pStyle w:val="bodytext"/>
      </w:pPr>
      <w:r w:rsidRPr="00FA6C41">
        <w:t xml:space="preserve">Note 9: </w:t>
      </w:r>
      <w:r w:rsidRPr="00FA6C41">
        <w:tab/>
        <w:t>Provisions</w:t>
      </w:r>
    </w:p>
    <w:p w:rsidR="00FA6C41" w:rsidRPr="00FA6C41" w:rsidRDefault="00FA6C41" w:rsidP="00D40F94">
      <w:pPr>
        <w:pStyle w:val="bodytext"/>
      </w:pPr>
      <w:r w:rsidRPr="00FA6C41">
        <w:t xml:space="preserve">Note 10: </w:t>
      </w:r>
      <w:r w:rsidRPr="00FA6C41">
        <w:tab/>
        <w:t>Cash Flow Reconciliation</w:t>
      </w:r>
    </w:p>
    <w:p w:rsidR="00FA6C41" w:rsidRPr="00FA6C41" w:rsidRDefault="00FA6C41" w:rsidP="00D40F94">
      <w:pPr>
        <w:pStyle w:val="bodytext"/>
      </w:pPr>
      <w:r w:rsidRPr="00FA6C41">
        <w:t xml:space="preserve">Note 11: </w:t>
      </w:r>
      <w:r w:rsidRPr="00FA6C41">
        <w:tab/>
        <w:t>Contingent Liabilities and Assets</w:t>
      </w:r>
    </w:p>
    <w:p w:rsidR="00FA6C41" w:rsidRPr="00FA6C41" w:rsidRDefault="00FA6C41" w:rsidP="00D40F94">
      <w:pPr>
        <w:pStyle w:val="bodytext"/>
      </w:pPr>
      <w:r w:rsidRPr="00FA6C41">
        <w:t xml:space="preserve">Note 12: </w:t>
      </w:r>
      <w:r w:rsidRPr="00FA6C41">
        <w:tab/>
        <w:t>Senior Executive Remuneration</w:t>
      </w:r>
    </w:p>
    <w:p w:rsidR="00FA6C41" w:rsidRPr="00FA6C41" w:rsidRDefault="00FA6C41" w:rsidP="00D40F94">
      <w:pPr>
        <w:pStyle w:val="bodytext"/>
      </w:pPr>
      <w:r w:rsidRPr="00FA6C41">
        <w:t xml:space="preserve">Note 13: </w:t>
      </w:r>
      <w:r w:rsidRPr="00FA6C41">
        <w:tab/>
        <w:t>Remuneration of Auditors</w:t>
      </w:r>
    </w:p>
    <w:p w:rsidR="00FA6C41" w:rsidRPr="00FA6C41" w:rsidRDefault="00FA6C41" w:rsidP="00D40F94">
      <w:pPr>
        <w:pStyle w:val="bodytext"/>
      </w:pPr>
      <w:r w:rsidRPr="00FA6C41">
        <w:t xml:space="preserve">Note 14: </w:t>
      </w:r>
      <w:r w:rsidRPr="00FA6C41">
        <w:tab/>
        <w:t>Financial Instruments</w:t>
      </w:r>
    </w:p>
    <w:p w:rsidR="00FA6C41" w:rsidRPr="00FA6C41" w:rsidRDefault="00FA6C41" w:rsidP="00D40F94">
      <w:pPr>
        <w:pStyle w:val="bodytext"/>
      </w:pPr>
      <w:r w:rsidRPr="00FA6C41">
        <w:t xml:space="preserve">Note 15: </w:t>
      </w:r>
      <w:r w:rsidRPr="00FA6C41">
        <w:tab/>
        <w:t>Financial Assets Reconciliation</w:t>
      </w:r>
    </w:p>
    <w:p w:rsidR="00FA6C41" w:rsidRPr="00FA6C41" w:rsidRDefault="00FA6C41" w:rsidP="00D40F94">
      <w:pPr>
        <w:pStyle w:val="bodytext"/>
      </w:pPr>
      <w:r w:rsidRPr="00FA6C41">
        <w:t xml:space="preserve">Note 16: </w:t>
      </w:r>
      <w:r w:rsidRPr="00FA6C41">
        <w:tab/>
        <w:t>Appropriations</w:t>
      </w:r>
    </w:p>
    <w:p w:rsidR="00FA6C41" w:rsidRPr="00FA6C41" w:rsidRDefault="00FA6C41" w:rsidP="00D40F94">
      <w:pPr>
        <w:pStyle w:val="bodytext"/>
      </w:pPr>
      <w:r w:rsidRPr="00FA6C41">
        <w:t xml:space="preserve">Note 17: </w:t>
      </w:r>
      <w:r w:rsidRPr="00FA6C41">
        <w:tab/>
        <w:t>Compensation and Debt Relief</w:t>
      </w:r>
    </w:p>
    <w:p w:rsidR="00FA6C41" w:rsidRPr="00FA6C41" w:rsidRDefault="00FA6C41" w:rsidP="00D40F94">
      <w:pPr>
        <w:pStyle w:val="bodytext"/>
      </w:pPr>
      <w:r w:rsidRPr="00FA6C41">
        <w:t xml:space="preserve">Note 18: </w:t>
      </w:r>
      <w:r w:rsidRPr="00FA6C41">
        <w:tab/>
        <w:t>Reporting of Outcomes</w:t>
      </w:r>
    </w:p>
    <w:p w:rsidR="00FA6C41" w:rsidRPr="00FA6C41" w:rsidRDefault="00FA6C41" w:rsidP="00D40F94">
      <w:pPr>
        <w:pStyle w:val="bodytext"/>
      </w:pPr>
      <w:r w:rsidRPr="00FA6C41">
        <w:t xml:space="preserve">Note 19: </w:t>
      </w:r>
      <w:r w:rsidRPr="00FA6C41">
        <w:tab/>
        <w:t>Net Cash Appropriation Arrangements</w:t>
      </w:r>
    </w:p>
    <w:p w:rsidR="00FA6C41" w:rsidRPr="00FA6C41" w:rsidRDefault="00FA6C41" w:rsidP="00FA6C41">
      <w:pPr>
        <w:widowControl w:val="0"/>
        <w:tabs>
          <w:tab w:val="left" w:pos="737"/>
        </w:tabs>
        <w:suppressAutoHyphens/>
        <w:autoSpaceDE w:val="0"/>
        <w:autoSpaceDN w:val="0"/>
        <w:adjustRightInd w:val="0"/>
        <w:spacing w:before="57" w:line="260" w:lineRule="atLeast"/>
        <w:textAlignment w:val="center"/>
        <w:rPr>
          <w:rFonts w:ascii="SamoSansPro-Light" w:hAnsi="SamoSansPro-Light" w:cs="SamoSansPro-Light"/>
          <w:color w:val="000000"/>
          <w:sz w:val="19"/>
          <w:szCs w:val="19"/>
          <w:lang w:val="en-GB"/>
        </w:rPr>
      </w:pPr>
    </w:p>
    <w:p w:rsidR="00FA6C41" w:rsidRPr="00FA6C41" w:rsidRDefault="00FA6C41" w:rsidP="00FA6C41">
      <w:pPr>
        <w:widowControl w:val="0"/>
        <w:suppressAutoHyphens/>
        <w:autoSpaceDE w:val="0"/>
        <w:autoSpaceDN w:val="0"/>
        <w:adjustRightInd w:val="0"/>
        <w:spacing w:after="200" w:line="288" w:lineRule="auto"/>
        <w:jc w:val="both"/>
        <w:textAlignment w:val="center"/>
        <w:rPr>
          <w:rFonts w:ascii="ArialNarrow" w:hAnsi="ArialNarrow" w:cs="ArialNarrow"/>
          <w:color w:val="000000"/>
          <w:szCs w:val="22"/>
          <w:lang w:val="en-AU"/>
        </w:rPr>
      </w:pPr>
    </w:p>
    <w:p w:rsidR="00FA6C41" w:rsidRPr="00FA6C41" w:rsidRDefault="00FA6C41" w:rsidP="00FA6C41">
      <w:pPr>
        <w:widowControl w:val="0"/>
        <w:suppressAutoHyphens/>
        <w:autoSpaceDE w:val="0"/>
        <w:autoSpaceDN w:val="0"/>
        <w:adjustRightInd w:val="0"/>
        <w:spacing w:before="227" w:line="288" w:lineRule="auto"/>
        <w:textAlignment w:val="center"/>
        <w:rPr>
          <w:rFonts w:ascii="SamoSansPro-Regular" w:hAnsi="SamoSansPro-Regular" w:cs="SamoSansPro-Regular"/>
          <w:color w:val="002171"/>
          <w:sz w:val="21"/>
          <w:szCs w:val="21"/>
          <w:lang w:val="en-GB"/>
        </w:rPr>
      </w:pPr>
    </w:p>
    <w:p w:rsidR="00FA6C41" w:rsidRPr="00FA6C41" w:rsidRDefault="00FA6C41" w:rsidP="00FA6C41">
      <w:pPr>
        <w:widowControl w:val="0"/>
        <w:autoSpaceDE w:val="0"/>
        <w:autoSpaceDN w:val="0"/>
        <w:adjustRightInd w:val="0"/>
        <w:spacing w:line="600" w:lineRule="atLeast"/>
        <w:textAlignment w:val="center"/>
        <w:rPr>
          <w:rFonts w:ascii="SamoSansPro-Medium" w:hAnsi="SamoSansPro-Medium" w:cs="SamoSansPro-Medium"/>
          <w:color w:val="28254D"/>
          <w:sz w:val="36"/>
          <w:szCs w:val="36"/>
          <w:lang w:val="en-GB"/>
        </w:rPr>
      </w:pPr>
    </w:p>
    <w:p w:rsidR="00FA6C41" w:rsidRPr="00FA6C41" w:rsidRDefault="00FA6C41" w:rsidP="00FE4C46">
      <w:pPr>
        <w:pStyle w:val="Heading2"/>
      </w:pPr>
      <w:bookmarkStart w:id="198" w:name="_Toc275439513"/>
      <w:bookmarkStart w:id="199" w:name="_Toc276039609"/>
      <w:bookmarkStart w:id="200" w:name="_Toc276039974"/>
      <w:bookmarkStart w:id="201" w:name="_Toc276040216"/>
      <w:r w:rsidRPr="00FA6C41">
        <w:t>Independent Audit Report</w:t>
      </w:r>
      <w:bookmarkEnd w:id="198"/>
      <w:bookmarkEnd w:id="199"/>
      <w:bookmarkEnd w:id="200"/>
      <w:bookmarkEnd w:id="201"/>
    </w:p>
    <w:p w:rsidR="00FA6C41" w:rsidRPr="00FA6C41" w:rsidRDefault="00B93A07" w:rsidP="00FE4C46">
      <w:pPr>
        <w:pStyle w:val="Heading2"/>
      </w:pPr>
      <w:r>
        <w:rPr>
          <w:noProof/>
          <w:lang w:val="en-US"/>
        </w:rPr>
        <w:drawing>
          <wp:inline distT="0" distB="0" distL="0" distR="0">
            <wp:extent cx="5715000" cy="7970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7970520"/>
                    </a:xfrm>
                    <a:prstGeom prst="rect">
                      <a:avLst/>
                    </a:prstGeom>
                    <a:noFill/>
                    <a:ln>
                      <a:noFill/>
                    </a:ln>
                  </pic:spPr>
                </pic:pic>
              </a:graphicData>
            </a:graphic>
          </wp:inline>
        </w:drawing>
      </w:r>
      <w:r>
        <w:br w:type="page"/>
      </w:r>
      <w:bookmarkStart w:id="202" w:name="_Toc275439514"/>
      <w:bookmarkStart w:id="203" w:name="_Toc276039610"/>
      <w:bookmarkStart w:id="204" w:name="_Toc276039975"/>
      <w:bookmarkStart w:id="205" w:name="_Toc276040217"/>
      <w:r w:rsidR="00FA6C41" w:rsidRPr="00FA6C41">
        <w:t>Independent Audit Report (continued)</w:t>
      </w:r>
      <w:bookmarkEnd w:id="202"/>
      <w:bookmarkEnd w:id="203"/>
      <w:bookmarkEnd w:id="204"/>
      <w:bookmarkEnd w:id="205"/>
    </w:p>
    <w:p w:rsidR="00FA6C41" w:rsidRPr="00FA6C41" w:rsidRDefault="00B93A07" w:rsidP="00FE4C46">
      <w:pPr>
        <w:pStyle w:val="Heading2"/>
      </w:pPr>
      <w:r>
        <w:rPr>
          <w:noProof/>
          <w:lang w:val="en-US"/>
        </w:rPr>
        <w:drawing>
          <wp:inline distT="0" distB="0" distL="0" distR="0">
            <wp:extent cx="6191250" cy="86347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91250" cy="8634730"/>
                    </a:xfrm>
                    <a:prstGeom prst="rect">
                      <a:avLst/>
                    </a:prstGeom>
                    <a:noFill/>
                    <a:ln>
                      <a:noFill/>
                    </a:ln>
                  </pic:spPr>
                </pic:pic>
              </a:graphicData>
            </a:graphic>
          </wp:inline>
        </w:drawing>
      </w:r>
      <w:r>
        <w:br w:type="page"/>
      </w:r>
      <w:bookmarkStart w:id="206" w:name="_Toc275439515"/>
      <w:bookmarkStart w:id="207" w:name="_Toc276039611"/>
      <w:bookmarkStart w:id="208" w:name="_Toc276039976"/>
      <w:bookmarkStart w:id="209" w:name="_Toc276040218"/>
      <w:r w:rsidR="00FA6C41" w:rsidRPr="00FA6C41">
        <w:t>Statement by the Chief Executive and Chief Financial Officer</w:t>
      </w:r>
      <w:bookmarkEnd w:id="206"/>
      <w:bookmarkEnd w:id="207"/>
      <w:bookmarkEnd w:id="208"/>
      <w:bookmarkEnd w:id="209"/>
    </w:p>
    <w:p w:rsidR="00FA6C41" w:rsidRDefault="00FA6C41" w:rsidP="00FA6C41">
      <w:pPr>
        <w:widowControl w:val="0"/>
        <w:suppressAutoHyphens/>
        <w:autoSpaceDE w:val="0"/>
        <w:autoSpaceDN w:val="0"/>
        <w:adjustRightInd w:val="0"/>
        <w:spacing w:before="57" w:after="340" w:line="260" w:lineRule="atLeast"/>
        <w:textAlignment w:val="center"/>
        <w:rPr>
          <w:rFonts w:ascii="SamoSansPro-Light" w:hAnsi="SamoSansPro-Light" w:cs="SamoSansPro-Light"/>
          <w:color w:val="000000"/>
          <w:sz w:val="19"/>
          <w:szCs w:val="19"/>
          <w:lang w:val="en-GB"/>
        </w:rPr>
      </w:pPr>
    </w:p>
    <w:p w:rsidR="003B21D7" w:rsidRPr="00FA6C41" w:rsidRDefault="003B21D7" w:rsidP="00FA6C41">
      <w:pPr>
        <w:widowControl w:val="0"/>
        <w:suppressAutoHyphens/>
        <w:autoSpaceDE w:val="0"/>
        <w:autoSpaceDN w:val="0"/>
        <w:adjustRightInd w:val="0"/>
        <w:spacing w:before="57" w:after="340" w:line="260" w:lineRule="atLeast"/>
        <w:textAlignment w:val="center"/>
        <w:rPr>
          <w:rFonts w:ascii="SamoSansPro-Light" w:hAnsi="SamoSansPro-Light" w:cs="SamoSansPro-Light"/>
          <w:color w:val="000000"/>
          <w:sz w:val="19"/>
          <w:szCs w:val="19"/>
          <w:lang w:val="en-GB"/>
        </w:rPr>
      </w:pPr>
      <w:r>
        <w:rPr>
          <w:rFonts w:ascii="SamoSansPro-Light" w:hAnsi="SamoSansPro-Light" w:cs="SamoSansPro-Light"/>
          <w:noProof/>
          <w:color w:val="000000"/>
          <w:sz w:val="19"/>
          <w:szCs w:val="19"/>
        </w:rPr>
        <w:drawing>
          <wp:inline distT="0" distB="0" distL="0" distR="0">
            <wp:extent cx="6141720" cy="742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41720" cy="742950"/>
                    </a:xfrm>
                    <a:prstGeom prst="rect">
                      <a:avLst/>
                    </a:prstGeom>
                    <a:noFill/>
                    <a:ln>
                      <a:noFill/>
                    </a:ln>
                  </pic:spPr>
                </pic:pic>
              </a:graphicData>
            </a:graphic>
          </wp:inline>
        </w:drawing>
      </w:r>
    </w:p>
    <w:p w:rsidR="00FA6C41" w:rsidRPr="00FA6C41" w:rsidRDefault="003B21D7"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000000"/>
          <w:sz w:val="19"/>
          <w:szCs w:val="19"/>
          <w:lang w:val="en-GB"/>
        </w:rPr>
      </w:pPr>
      <w:r>
        <w:rPr>
          <w:rFonts w:ascii="SamoSansPro-Medium" w:hAnsi="SamoSansPro-Medium" w:cs="SamoSansPro-Medium"/>
          <w:noProof/>
          <w:color w:val="000000"/>
          <w:sz w:val="19"/>
          <w:szCs w:val="19"/>
        </w:rPr>
        <w:drawing>
          <wp:inline distT="0" distB="0" distL="0" distR="0">
            <wp:extent cx="6224270" cy="19481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24270" cy="1948180"/>
                    </a:xfrm>
                    <a:prstGeom prst="rect">
                      <a:avLst/>
                    </a:prstGeom>
                    <a:noFill/>
                    <a:ln>
                      <a:noFill/>
                    </a:ln>
                  </pic:spPr>
                </pic:pic>
              </a:graphicData>
            </a:graphic>
          </wp:inline>
        </w:drawing>
      </w:r>
    </w:p>
    <w:p w:rsidR="00FA6C41" w:rsidRPr="00FA6C41" w:rsidRDefault="00FA6C41" w:rsidP="00FA6C41">
      <w:pPr>
        <w:widowControl w:val="0"/>
        <w:suppressAutoHyphens/>
        <w:autoSpaceDE w:val="0"/>
        <w:autoSpaceDN w:val="0"/>
        <w:adjustRightInd w:val="0"/>
        <w:spacing w:before="57" w:after="170" w:line="260" w:lineRule="atLeast"/>
        <w:textAlignment w:val="center"/>
        <w:rPr>
          <w:rFonts w:ascii="SamoSansPro-Light" w:hAnsi="SamoSansPro-Light" w:cs="SamoSansPro-Light"/>
          <w:color w:val="000000"/>
          <w:sz w:val="19"/>
          <w:szCs w:val="19"/>
          <w:lang w:val="en-GB"/>
        </w:rPr>
      </w:pPr>
    </w:p>
    <w:p w:rsidR="00FA6C41" w:rsidRPr="00FA6C41" w:rsidRDefault="00FA6C41" w:rsidP="00FA6C41">
      <w:pPr>
        <w:rPr>
          <w:lang w:val="en-GB"/>
        </w:rPr>
      </w:pPr>
    </w:p>
    <w:p w:rsidR="00FE4C46" w:rsidRDefault="00FE4C46">
      <w:r>
        <w:br w:type="page"/>
      </w:r>
    </w:p>
    <w:tbl>
      <w:tblPr>
        <w:tblW w:w="9760" w:type="dxa"/>
        <w:tblInd w:w="108" w:type="dxa"/>
        <w:tblLook w:val="04A0"/>
      </w:tblPr>
      <w:tblGrid>
        <w:gridCol w:w="6400"/>
        <w:gridCol w:w="717"/>
        <w:gridCol w:w="1174"/>
        <w:gridCol w:w="295"/>
        <w:gridCol w:w="1174"/>
      </w:tblGrid>
      <w:tr w:rsidR="00CE7895" w:rsidRPr="00CE7895">
        <w:trPr>
          <w:trHeight w:val="220"/>
        </w:trPr>
        <w:tc>
          <w:tcPr>
            <w:tcW w:w="6456" w:type="dxa"/>
            <w:tcBorders>
              <w:top w:val="nil"/>
              <w:left w:val="nil"/>
              <w:right w:val="nil"/>
            </w:tcBorders>
            <w:shd w:val="clear" w:color="auto" w:fill="auto"/>
            <w:noWrap/>
          </w:tcPr>
          <w:p w:rsidR="00CE7895" w:rsidRPr="00CE7895" w:rsidRDefault="00CE7895" w:rsidP="00344BAD">
            <w:pPr>
              <w:pStyle w:val="Financialsnotehead"/>
            </w:pPr>
            <w:bookmarkStart w:id="210" w:name="RANGE!C1:G41"/>
            <w:bookmarkStart w:id="211" w:name="RANGE!C1"/>
            <w:bookmarkEnd w:id="210"/>
            <w:r w:rsidRPr="00CE7895">
              <w:t>STATEMENT OF COMPREHENSIVE INCOME</w:t>
            </w:r>
            <w:bookmarkEnd w:id="211"/>
          </w:p>
        </w:tc>
        <w:tc>
          <w:tcPr>
            <w:tcW w:w="656" w:type="dxa"/>
            <w:tcBorders>
              <w:top w:val="nil"/>
              <w:left w:val="nil"/>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b/>
                <w:bCs/>
                <w:sz w:val="18"/>
                <w:szCs w:val="18"/>
                <w:lang w:val="en-AU"/>
              </w:rPr>
            </w:pPr>
          </w:p>
        </w:tc>
        <w:tc>
          <w:tcPr>
            <w:tcW w:w="296" w:type="dxa"/>
            <w:tcBorders>
              <w:top w:val="nil"/>
              <w:left w:val="nil"/>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right w:val="nil"/>
            </w:tcBorders>
            <w:shd w:val="clear" w:color="auto" w:fill="auto"/>
            <w:noWrap/>
            <w:vAlign w:val="bottom"/>
          </w:tcPr>
          <w:p w:rsidR="00CE7895" w:rsidRPr="00CE7895" w:rsidRDefault="00CE7895" w:rsidP="00CE7895">
            <w:pPr>
              <w:spacing w:after="0" w:line="240" w:lineRule="auto"/>
              <w:rPr>
                <w:rFonts w:ascii="Times New Roman" w:eastAsia="Times New Roman" w:hAnsi="Times New Roman" w:cs="Times New Roman"/>
                <w:sz w:val="18"/>
                <w:szCs w:val="18"/>
                <w:lang w:val="en-AU"/>
              </w:rPr>
            </w:pPr>
          </w:p>
        </w:tc>
      </w:tr>
      <w:tr w:rsidR="00CE7895" w:rsidRPr="00CE7895">
        <w:trPr>
          <w:trHeight w:val="240"/>
        </w:trPr>
        <w:tc>
          <w:tcPr>
            <w:tcW w:w="6456" w:type="dxa"/>
            <w:tcBorders>
              <w:top w:val="nil"/>
              <w:left w:val="nil"/>
              <w:bottom w:val="single" w:sz="4" w:space="0" w:color="auto"/>
              <w:right w:val="nil"/>
            </w:tcBorders>
            <w:shd w:val="clear" w:color="auto" w:fill="auto"/>
            <w:noWrap/>
          </w:tcPr>
          <w:p w:rsidR="00CE7895" w:rsidRPr="00CE7895" w:rsidRDefault="00CE7895" w:rsidP="00D40F94">
            <w:pPr>
              <w:pStyle w:val="bodytext"/>
            </w:pPr>
            <w:proofErr w:type="gramStart"/>
            <w:r w:rsidRPr="00CE7895">
              <w:t>for</w:t>
            </w:r>
            <w:proofErr w:type="gramEnd"/>
            <w:r w:rsidRPr="00CE7895">
              <w:t xml:space="preserve"> the period ended 30 June 2014</w:t>
            </w:r>
          </w:p>
        </w:tc>
        <w:tc>
          <w:tcPr>
            <w:tcW w:w="656" w:type="dxa"/>
            <w:tcBorders>
              <w:top w:val="nil"/>
              <w:left w:val="nil"/>
              <w:bottom w:val="single" w:sz="4" w:space="0" w:color="auto"/>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b/>
                <w:bCs/>
                <w:sz w:val="18"/>
                <w:szCs w:val="18"/>
                <w:lang w:val="en-AU"/>
              </w:rPr>
            </w:pPr>
            <w:r w:rsidRPr="00CE7895">
              <w:rPr>
                <w:rFonts w:ascii="Times New Roman" w:eastAsia="Times New Roman" w:hAnsi="Times New Roman" w:cs="Times New Roman"/>
                <w:b/>
                <w:bCs/>
                <w:sz w:val="18"/>
                <w:szCs w:val="18"/>
                <w:lang w:val="en-AU"/>
              </w:rPr>
              <w:t> </w:t>
            </w:r>
          </w:p>
        </w:tc>
        <w:tc>
          <w:tcPr>
            <w:tcW w:w="1176" w:type="dxa"/>
            <w:tcBorders>
              <w:top w:val="nil"/>
              <w:left w:val="nil"/>
              <w:bottom w:val="single" w:sz="4" w:space="0" w:color="auto"/>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b/>
                <w:bCs/>
                <w:sz w:val="18"/>
                <w:szCs w:val="18"/>
                <w:lang w:val="en-AU"/>
              </w:rPr>
            </w:pPr>
            <w:r w:rsidRPr="00CE7895">
              <w:rPr>
                <w:rFonts w:ascii="Times New Roman" w:eastAsia="Times New Roman" w:hAnsi="Times New Roman" w:cs="Times New Roman"/>
                <w:b/>
                <w:bCs/>
                <w:sz w:val="18"/>
                <w:szCs w:val="18"/>
                <w:lang w:val="en-AU"/>
              </w:rPr>
              <w:t> </w:t>
            </w:r>
          </w:p>
        </w:tc>
        <w:tc>
          <w:tcPr>
            <w:tcW w:w="296" w:type="dxa"/>
            <w:tcBorders>
              <w:top w:val="nil"/>
              <w:left w:val="nil"/>
              <w:bottom w:val="single" w:sz="4" w:space="0" w:color="auto"/>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b/>
                <w:bCs/>
                <w:sz w:val="18"/>
                <w:szCs w:val="18"/>
                <w:lang w:val="en-AU"/>
              </w:rPr>
            </w:pPr>
            <w:r w:rsidRPr="00CE7895">
              <w:rPr>
                <w:rFonts w:ascii="Times New Roman" w:eastAsia="Times New Roman" w:hAnsi="Times New Roman" w:cs="Times New Roman"/>
                <w:b/>
                <w:bCs/>
                <w:sz w:val="18"/>
                <w:szCs w:val="18"/>
                <w:lang w:val="en-AU"/>
              </w:rPr>
              <w:t> </w:t>
            </w:r>
          </w:p>
        </w:tc>
        <w:tc>
          <w:tcPr>
            <w:tcW w:w="1176" w:type="dxa"/>
            <w:tcBorders>
              <w:top w:val="nil"/>
              <w:left w:val="nil"/>
              <w:bottom w:val="single" w:sz="4" w:space="0" w:color="auto"/>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b/>
                <w:bCs/>
                <w:sz w:val="18"/>
                <w:szCs w:val="18"/>
                <w:lang w:val="en-AU"/>
              </w:rPr>
            </w:pPr>
            <w:r w:rsidRPr="00CE7895">
              <w:rPr>
                <w:rFonts w:ascii="Times New Roman" w:eastAsia="Times New Roman" w:hAnsi="Times New Roman" w:cs="Times New Roman"/>
                <w:b/>
                <w:bCs/>
                <w:sz w:val="18"/>
                <w:szCs w:val="18"/>
                <w:lang w:val="en-AU"/>
              </w:rPr>
              <w:t> </w:t>
            </w:r>
          </w:p>
        </w:tc>
      </w:tr>
      <w:tr w:rsidR="00CE7895" w:rsidRPr="00CE7895">
        <w:trPr>
          <w:trHeight w:val="220"/>
        </w:trPr>
        <w:tc>
          <w:tcPr>
            <w:tcW w:w="6456" w:type="dxa"/>
            <w:tcBorders>
              <w:top w:val="single" w:sz="4" w:space="0" w:color="auto"/>
              <w:left w:val="nil"/>
              <w:bottom w:val="nil"/>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sz w:val="18"/>
                <w:szCs w:val="18"/>
                <w:lang w:val="en-AU"/>
              </w:rPr>
            </w:pPr>
            <w:r w:rsidRPr="00CE7895">
              <w:rPr>
                <w:rFonts w:ascii="Times New Roman" w:eastAsia="Times New Roman" w:hAnsi="Times New Roman" w:cs="Times New Roman"/>
                <w:sz w:val="18"/>
                <w:szCs w:val="18"/>
                <w:lang w:val="en-AU"/>
              </w:rPr>
              <w:t> </w:t>
            </w:r>
          </w:p>
        </w:tc>
        <w:tc>
          <w:tcPr>
            <w:tcW w:w="656" w:type="dxa"/>
            <w:tcBorders>
              <w:top w:val="single" w:sz="4" w:space="0" w:color="auto"/>
              <w:left w:val="nil"/>
              <w:bottom w:val="nil"/>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sz w:val="18"/>
                <w:szCs w:val="18"/>
                <w:lang w:val="en-AU"/>
              </w:rPr>
            </w:pPr>
            <w:r w:rsidRPr="00CE7895">
              <w:rPr>
                <w:rFonts w:ascii="Times New Roman" w:eastAsia="Times New Roman" w:hAnsi="Times New Roman" w:cs="Times New Roman"/>
                <w:sz w:val="18"/>
                <w:szCs w:val="18"/>
                <w:lang w:val="en-AU"/>
              </w:rPr>
              <w:t> </w:t>
            </w:r>
          </w:p>
        </w:tc>
        <w:tc>
          <w:tcPr>
            <w:tcW w:w="1176" w:type="dxa"/>
            <w:tcBorders>
              <w:top w:val="single" w:sz="4" w:space="0" w:color="auto"/>
              <w:left w:val="nil"/>
              <w:bottom w:val="nil"/>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sz w:val="18"/>
                <w:szCs w:val="18"/>
                <w:lang w:val="en-AU"/>
              </w:rPr>
            </w:pPr>
            <w:r w:rsidRPr="00CE7895">
              <w:rPr>
                <w:rFonts w:ascii="Times New Roman" w:eastAsia="Times New Roman" w:hAnsi="Times New Roman" w:cs="Times New Roman"/>
                <w:sz w:val="18"/>
                <w:szCs w:val="18"/>
                <w:lang w:val="en-AU"/>
              </w:rPr>
              <w:t> </w:t>
            </w:r>
          </w:p>
        </w:tc>
        <w:tc>
          <w:tcPr>
            <w:tcW w:w="296" w:type="dxa"/>
            <w:tcBorders>
              <w:top w:val="single" w:sz="4" w:space="0" w:color="auto"/>
              <w:left w:val="nil"/>
              <w:bottom w:val="nil"/>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sz w:val="18"/>
                <w:szCs w:val="18"/>
                <w:lang w:val="en-AU"/>
              </w:rPr>
            </w:pPr>
            <w:r w:rsidRPr="00CE7895">
              <w:rPr>
                <w:rFonts w:ascii="Times New Roman" w:eastAsia="Times New Roman" w:hAnsi="Times New Roman" w:cs="Times New Roman"/>
                <w:sz w:val="18"/>
                <w:szCs w:val="18"/>
                <w:lang w:val="en-AU"/>
              </w:rPr>
              <w:t> </w:t>
            </w:r>
          </w:p>
        </w:tc>
        <w:tc>
          <w:tcPr>
            <w:tcW w:w="1176" w:type="dxa"/>
            <w:tcBorders>
              <w:top w:val="single" w:sz="4" w:space="0" w:color="auto"/>
              <w:left w:val="nil"/>
              <w:bottom w:val="nil"/>
              <w:right w:val="nil"/>
            </w:tcBorders>
            <w:shd w:val="clear" w:color="auto" w:fill="auto"/>
            <w:noWrap/>
            <w:vAlign w:val="bottom"/>
          </w:tcPr>
          <w:p w:rsidR="00CE7895" w:rsidRPr="00CE7895" w:rsidRDefault="00CE7895" w:rsidP="00CE7895">
            <w:pPr>
              <w:spacing w:after="0" w:line="240" w:lineRule="auto"/>
              <w:rPr>
                <w:rFonts w:ascii="Times New Roman" w:eastAsia="Times New Roman" w:hAnsi="Times New Roman" w:cs="Times New Roman"/>
                <w:sz w:val="18"/>
                <w:szCs w:val="18"/>
                <w:lang w:val="en-AU"/>
              </w:rPr>
            </w:pPr>
          </w:p>
        </w:tc>
      </w:tr>
      <w:tr w:rsidR="00CE7895" w:rsidRPr="00344BAD">
        <w:trPr>
          <w:trHeight w:val="220"/>
        </w:trPr>
        <w:tc>
          <w:tcPr>
            <w:tcW w:w="6456" w:type="dxa"/>
            <w:tcBorders>
              <w:top w:val="nil"/>
              <w:left w:val="nil"/>
              <w:bottom w:val="nil"/>
              <w:right w:val="nil"/>
            </w:tcBorders>
            <w:shd w:val="clear" w:color="auto" w:fill="auto"/>
            <w:noWrap/>
          </w:tcPr>
          <w:p w:rsidR="00CE7895" w:rsidRPr="00344BAD" w:rsidRDefault="00CE7895" w:rsidP="00CE7895">
            <w:pPr>
              <w:spacing w:after="0" w:line="240" w:lineRule="auto"/>
              <w:rPr>
                <w:rFonts w:eastAsia="Times New Roman" w:cs="Arial"/>
                <w:sz w:val="18"/>
                <w:szCs w:val="18"/>
                <w:lang w:val="en-AU"/>
              </w:rPr>
            </w:pPr>
          </w:p>
        </w:tc>
        <w:tc>
          <w:tcPr>
            <w:tcW w:w="656" w:type="dxa"/>
            <w:tcBorders>
              <w:top w:val="nil"/>
              <w:left w:val="nil"/>
              <w:bottom w:val="nil"/>
              <w:right w:val="nil"/>
            </w:tcBorders>
            <w:shd w:val="clear" w:color="auto" w:fill="auto"/>
            <w:noWrap/>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tcPr>
          <w:p w:rsidR="00CE7895" w:rsidRPr="00344BAD" w:rsidRDefault="00CE7895" w:rsidP="00CE7895">
            <w:pPr>
              <w:spacing w:after="0" w:line="240" w:lineRule="auto"/>
              <w:rPr>
                <w:rFonts w:eastAsia="Times New Roman" w:cs="Arial"/>
                <w:sz w:val="18"/>
                <w:szCs w:val="18"/>
                <w:lang w:val="en-AU"/>
              </w:rPr>
            </w:pPr>
          </w:p>
        </w:tc>
        <w:tc>
          <w:tcPr>
            <w:tcW w:w="296" w:type="dxa"/>
            <w:tcBorders>
              <w:top w:val="nil"/>
              <w:left w:val="nil"/>
              <w:bottom w:val="nil"/>
              <w:right w:val="nil"/>
            </w:tcBorders>
            <w:shd w:val="clear" w:color="auto" w:fill="auto"/>
            <w:noWrap/>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r>
      <w:tr w:rsidR="00CE7895" w:rsidRPr="00344BAD">
        <w:trPr>
          <w:trHeight w:val="220"/>
        </w:trPr>
        <w:tc>
          <w:tcPr>
            <w:tcW w:w="6456" w:type="dxa"/>
            <w:tcBorders>
              <w:top w:val="nil"/>
              <w:left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656" w:type="dxa"/>
            <w:tcBorders>
              <w:top w:val="nil"/>
              <w:left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2014 </w:t>
            </w:r>
          </w:p>
        </w:tc>
        <w:tc>
          <w:tcPr>
            <w:tcW w:w="296" w:type="dxa"/>
            <w:tcBorders>
              <w:top w:val="nil"/>
              <w:left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2013 </w:t>
            </w:r>
          </w:p>
        </w:tc>
      </w:tr>
      <w:tr w:rsidR="00CE7895" w:rsidRPr="00344BAD">
        <w:trPr>
          <w:trHeight w:val="220"/>
        </w:trPr>
        <w:tc>
          <w:tcPr>
            <w:tcW w:w="6456" w:type="dxa"/>
            <w:tcBorders>
              <w:top w:val="nil"/>
              <w:left w:val="nil"/>
              <w:bottom w:val="single" w:sz="4" w:space="0" w:color="auto"/>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p>
        </w:tc>
        <w:tc>
          <w:tcPr>
            <w:tcW w:w="656" w:type="dxa"/>
            <w:tcBorders>
              <w:top w:val="nil"/>
              <w:left w:val="nil"/>
              <w:bottom w:val="single" w:sz="4" w:space="0" w:color="auto"/>
              <w:right w:val="nil"/>
            </w:tcBorders>
            <w:shd w:val="clear" w:color="auto" w:fill="auto"/>
            <w:noWrap/>
            <w:vAlign w:val="bottom"/>
          </w:tcPr>
          <w:p w:rsidR="00CE7895" w:rsidRPr="00344BAD" w:rsidRDefault="00CE7895" w:rsidP="00CE7895">
            <w:pPr>
              <w:spacing w:after="0" w:line="240" w:lineRule="auto"/>
              <w:jc w:val="center"/>
              <w:rPr>
                <w:rFonts w:eastAsia="Times New Roman" w:cs="Arial"/>
                <w:b/>
                <w:bCs/>
                <w:sz w:val="18"/>
                <w:szCs w:val="18"/>
                <w:lang w:val="en-AU"/>
              </w:rPr>
            </w:pPr>
            <w:r w:rsidRPr="00344BAD">
              <w:rPr>
                <w:rFonts w:eastAsia="Times New Roman" w:cs="Arial"/>
                <w:b/>
                <w:bCs/>
                <w:sz w:val="18"/>
                <w:szCs w:val="18"/>
                <w:lang w:val="en-AU"/>
              </w:rPr>
              <w:t>Notes</w:t>
            </w:r>
          </w:p>
        </w:tc>
        <w:tc>
          <w:tcPr>
            <w:tcW w:w="1176" w:type="dxa"/>
            <w:tcBorders>
              <w:top w:val="nil"/>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w:t>
            </w:r>
          </w:p>
        </w:tc>
        <w:tc>
          <w:tcPr>
            <w:tcW w:w="296" w:type="dxa"/>
            <w:tcBorders>
              <w:top w:val="nil"/>
              <w:left w:val="nil"/>
              <w:bottom w:val="single" w:sz="4" w:space="0" w:color="auto"/>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w:t>
            </w:r>
          </w:p>
        </w:tc>
      </w:tr>
      <w:tr w:rsidR="00CE7895" w:rsidRPr="00344BAD">
        <w:trPr>
          <w:trHeight w:val="220"/>
        </w:trPr>
        <w:tc>
          <w:tcPr>
            <w:tcW w:w="6456" w:type="dxa"/>
            <w:tcBorders>
              <w:top w:val="single" w:sz="4" w:space="0" w:color="auto"/>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EXPENSES</w:t>
            </w:r>
          </w:p>
        </w:tc>
        <w:tc>
          <w:tcPr>
            <w:tcW w:w="656" w:type="dxa"/>
            <w:tcBorders>
              <w:top w:val="single" w:sz="4" w:space="0" w:color="auto"/>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single" w:sz="4" w:space="0" w:color="auto"/>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Employee benefits</w:t>
            </w:r>
          </w:p>
        </w:tc>
        <w:tc>
          <w:tcPr>
            <w:tcW w:w="656" w:type="dxa"/>
            <w:tcBorders>
              <w:top w:val="nil"/>
              <w:left w:val="nil"/>
              <w:bottom w:val="nil"/>
              <w:right w:val="nil"/>
            </w:tcBorders>
            <w:shd w:val="clear" w:color="auto" w:fill="auto"/>
            <w:noWrap/>
            <w:vAlign w:val="bottom"/>
          </w:tcPr>
          <w:p w:rsidR="00CE7895" w:rsidRPr="00344BAD" w:rsidRDefault="00FC6B5C" w:rsidP="00CE7895">
            <w:pPr>
              <w:spacing w:after="0" w:line="240" w:lineRule="auto"/>
              <w:rPr>
                <w:rFonts w:eastAsia="Times New Roman" w:cs="Arial"/>
                <w:color w:val="0000D4"/>
                <w:sz w:val="18"/>
                <w:szCs w:val="18"/>
                <w:u w:val="single"/>
                <w:lang w:val="en-AU"/>
              </w:rPr>
            </w:pPr>
            <w:hyperlink w:anchor="RANGE!A1" w:history="1">
              <w:r w:rsidR="00CE7895" w:rsidRPr="00344BAD">
                <w:rPr>
                  <w:rFonts w:eastAsia="Times New Roman" w:cs="Arial"/>
                  <w:color w:val="0000D4"/>
                  <w:sz w:val="18"/>
                  <w:szCs w:val="18"/>
                  <w:u w:val="single"/>
                  <w:lang w:val="en-AU"/>
                </w:rPr>
                <w:t>3A</w:t>
              </w:r>
            </w:hyperlink>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2,373,952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2,829,497 </w:t>
            </w: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Supplier expenses</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r w:rsidRPr="00344BAD">
              <w:rPr>
                <w:rFonts w:eastAsia="Times New Roman" w:cs="Arial"/>
                <w:color w:val="0000D4"/>
                <w:sz w:val="18"/>
                <w:szCs w:val="18"/>
                <w:u w:val="single"/>
                <w:lang w:val="en-AU"/>
              </w:rPr>
              <w:t>3B</w:t>
            </w: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2,296,070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1,325,156 </w:t>
            </w: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Depreciation and amortisation</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r w:rsidRPr="00344BAD">
              <w:rPr>
                <w:rFonts w:eastAsia="Times New Roman" w:cs="Arial"/>
                <w:color w:val="0000D4"/>
                <w:sz w:val="18"/>
                <w:szCs w:val="18"/>
                <w:u w:val="single"/>
                <w:lang w:val="en-AU"/>
              </w:rPr>
              <w:t>3C</w:t>
            </w: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153,475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180,672 </w:t>
            </w: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Finance costs</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r w:rsidRPr="00344BAD">
              <w:rPr>
                <w:rFonts w:eastAsia="Times New Roman" w:cs="Arial"/>
                <w:color w:val="0000D4"/>
                <w:sz w:val="18"/>
                <w:szCs w:val="18"/>
                <w:u w:val="single"/>
                <w:lang w:val="en-AU"/>
              </w:rPr>
              <w:t>3D</w:t>
            </w: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880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1,960 </w:t>
            </w: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Write-down and impairment of assets</w:t>
            </w:r>
          </w:p>
        </w:tc>
        <w:tc>
          <w:tcPr>
            <w:tcW w:w="656" w:type="dxa"/>
            <w:tcBorders>
              <w:top w:val="nil"/>
              <w:left w:val="nil"/>
              <w:bottom w:val="nil"/>
              <w:right w:val="nil"/>
            </w:tcBorders>
            <w:shd w:val="clear" w:color="auto" w:fill="auto"/>
            <w:noWrap/>
            <w:vAlign w:val="bottom"/>
          </w:tcPr>
          <w:p w:rsidR="00CE7895" w:rsidRPr="00344BAD" w:rsidRDefault="00FC6B5C" w:rsidP="00CE7895">
            <w:pPr>
              <w:spacing w:after="0" w:line="240" w:lineRule="auto"/>
              <w:rPr>
                <w:rFonts w:eastAsia="Times New Roman" w:cs="Arial"/>
                <w:color w:val="0000D4"/>
                <w:sz w:val="18"/>
                <w:szCs w:val="18"/>
                <w:u w:val="single"/>
                <w:lang w:val="en-AU"/>
              </w:rPr>
            </w:pPr>
            <w:hyperlink w:anchor="RANGE!A1" w:history="1">
              <w:r w:rsidR="00CE7895" w:rsidRPr="00344BAD">
                <w:rPr>
                  <w:rFonts w:eastAsia="Times New Roman" w:cs="Arial"/>
                  <w:color w:val="0000D4"/>
                  <w:sz w:val="18"/>
                  <w:szCs w:val="18"/>
                  <w:u w:val="single"/>
                  <w:lang w:val="en-AU"/>
                </w:rPr>
                <w:t>3E</w:t>
              </w:r>
            </w:hyperlink>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37,006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Losses from asset sales</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r w:rsidRPr="00344BAD">
              <w:rPr>
                <w:rFonts w:eastAsia="Times New Roman" w:cs="Arial"/>
                <w:color w:val="0000D4"/>
                <w:sz w:val="18"/>
                <w:szCs w:val="18"/>
                <w:u w:val="single"/>
                <w:lang w:val="en-AU"/>
              </w:rPr>
              <w:t>3F</w:t>
            </w: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2,898 </w:t>
            </w: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Total expenses</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bookmarkStart w:id="212" w:name="RANGE!E14"/>
            <w:r w:rsidRPr="00344BAD">
              <w:rPr>
                <w:rFonts w:eastAsia="Times New Roman" w:cs="Arial"/>
                <w:b/>
                <w:bCs/>
                <w:sz w:val="18"/>
                <w:szCs w:val="18"/>
                <w:lang w:val="en-AU"/>
              </w:rPr>
              <w:t xml:space="preserve">4,861,383 </w:t>
            </w:r>
            <w:bookmarkEnd w:id="212"/>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bookmarkStart w:id="213" w:name="RANGE!G14"/>
            <w:r w:rsidRPr="00344BAD">
              <w:rPr>
                <w:rFonts w:eastAsia="Times New Roman" w:cs="Arial"/>
                <w:sz w:val="18"/>
                <w:szCs w:val="18"/>
                <w:lang w:val="en-AU"/>
              </w:rPr>
              <w:t xml:space="preserve">4,340,183 </w:t>
            </w:r>
            <w:bookmarkEnd w:id="213"/>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 xml:space="preserve">LESS: </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OWN-SOURCE INCOME</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Own-source revenue</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Sale of goods and rendering of services</w:t>
            </w:r>
          </w:p>
        </w:tc>
        <w:tc>
          <w:tcPr>
            <w:tcW w:w="656" w:type="dxa"/>
            <w:tcBorders>
              <w:top w:val="nil"/>
              <w:left w:val="nil"/>
              <w:bottom w:val="nil"/>
              <w:right w:val="nil"/>
            </w:tcBorders>
            <w:shd w:val="clear" w:color="auto" w:fill="auto"/>
            <w:noWrap/>
            <w:vAlign w:val="bottom"/>
          </w:tcPr>
          <w:p w:rsidR="00CE7895" w:rsidRPr="00344BAD" w:rsidRDefault="00FC6B5C" w:rsidP="00CE7895">
            <w:pPr>
              <w:spacing w:after="0" w:line="240" w:lineRule="auto"/>
              <w:rPr>
                <w:rFonts w:eastAsia="Times New Roman" w:cs="Arial"/>
                <w:color w:val="0000D4"/>
                <w:sz w:val="18"/>
                <w:szCs w:val="18"/>
                <w:u w:val="single"/>
                <w:lang w:val="en-AU"/>
              </w:rPr>
            </w:pPr>
            <w:hyperlink w:anchor="RANGE!A1" w:history="1">
              <w:r w:rsidR="00CE7895" w:rsidRPr="00344BAD">
                <w:rPr>
                  <w:rFonts w:eastAsia="Times New Roman" w:cs="Arial"/>
                  <w:color w:val="0000D4"/>
                  <w:sz w:val="18"/>
                  <w:szCs w:val="18"/>
                  <w:u w:val="single"/>
                  <w:lang w:val="en-AU"/>
                </w:rPr>
                <w:t>4A</w:t>
              </w:r>
            </w:hyperlink>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28,473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7,039 </w:t>
            </w: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Total own-source revenue</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28,473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7,039 </w:t>
            </w: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Gains</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Other</w:t>
            </w:r>
          </w:p>
        </w:tc>
        <w:tc>
          <w:tcPr>
            <w:tcW w:w="656" w:type="dxa"/>
            <w:tcBorders>
              <w:top w:val="nil"/>
              <w:left w:val="nil"/>
              <w:bottom w:val="nil"/>
              <w:right w:val="nil"/>
            </w:tcBorders>
            <w:shd w:val="clear" w:color="auto" w:fill="auto"/>
            <w:noWrap/>
            <w:vAlign w:val="bottom"/>
          </w:tcPr>
          <w:p w:rsidR="00CE7895" w:rsidRPr="00344BAD" w:rsidRDefault="00FC6B5C" w:rsidP="00CE7895">
            <w:pPr>
              <w:spacing w:after="0" w:line="240" w:lineRule="auto"/>
              <w:rPr>
                <w:rFonts w:eastAsia="Times New Roman" w:cs="Arial"/>
                <w:color w:val="0000D4"/>
                <w:sz w:val="18"/>
                <w:szCs w:val="18"/>
                <w:u w:val="single"/>
                <w:lang w:val="en-AU"/>
              </w:rPr>
            </w:pPr>
            <w:hyperlink w:anchor="RANGE!A1" w:history="1">
              <w:r w:rsidR="00CE7895" w:rsidRPr="00344BAD">
                <w:rPr>
                  <w:rFonts w:eastAsia="Times New Roman" w:cs="Arial"/>
                  <w:color w:val="0000D4"/>
                  <w:sz w:val="18"/>
                  <w:szCs w:val="18"/>
                  <w:u w:val="single"/>
                  <w:lang w:val="en-AU"/>
                </w:rPr>
                <w:t>4B</w:t>
              </w:r>
            </w:hyperlink>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36,005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15,850 </w:t>
            </w: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Reversals of Previous Asset Write-Downs and Impairments</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r w:rsidRPr="00344BAD">
              <w:rPr>
                <w:rFonts w:eastAsia="Times New Roman" w:cs="Arial"/>
                <w:color w:val="0000D4"/>
                <w:sz w:val="18"/>
                <w:szCs w:val="18"/>
                <w:u w:val="single"/>
                <w:lang w:val="en-AU"/>
              </w:rPr>
              <w:t>4C</w:t>
            </w: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2,342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Total gains</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38,347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15,850 </w:t>
            </w: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Total own-source income</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66,820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22,889 </w:t>
            </w: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 xml:space="preserve">Net cost of services </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4,794,563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4,317,294 </w:t>
            </w: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Revenue from Government</w:t>
            </w:r>
          </w:p>
        </w:tc>
        <w:tc>
          <w:tcPr>
            <w:tcW w:w="656" w:type="dxa"/>
            <w:tcBorders>
              <w:top w:val="nil"/>
              <w:left w:val="nil"/>
              <w:bottom w:val="nil"/>
              <w:right w:val="nil"/>
            </w:tcBorders>
            <w:shd w:val="clear" w:color="auto" w:fill="auto"/>
            <w:noWrap/>
            <w:vAlign w:val="bottom"/>
          </w:tcPr>
          <w:p w:rsidR="00CE7895" w:rsidRPr="00344BAD" w:rsidRDefault="00FC6B5C" w:rsidP="00CE7895">
            <w:pPr>
              <w:spacing w:after="0" w:line="240" w:lineRule="auto"/>
              <w:rPr>
                <w:rFonts w:eastAsia="Times New Roman" w:cs="Arial"/>
                <w:color w:val="0000D4"/>
                <w:sz w:val="18"/>
                <w:szCs w:val="18"/>
                <w:u w:val="single"/>
                <w:lang w:val="en-AU"/>
              </w:rPr>
            </w:pPr>
            <w:hyperlink w:anchor="RANGE!A1" w:history="1">
              <w:r w:rsidR="00CE7895" w:rsidRPr="00344BAD">
                <w:rPr>
                  <w:rFonts w:eastAsia="Times New Roman" w:cs="Arial"/>
                  <w:color w:val="0000D4"/>
                  <w:sz w:val="18"/>
                  <w:szCs w:val="18"/>
                  <w:u w:val="single"/>
                  <w:lang w:val="en-AU"/>
                </w:rPr>
                <w:t>4D</w:t>
              </w:r>
            </w:hyperlink>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5,740,000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5,739,000 </w:t>
            </w: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Surplus attributable to the Australian Government</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945,437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1,421,706 </w:t>
            </w: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OTHER COMPREHENSIVE INCOME</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Changes in asset revaluation surplus</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19,883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CE7895" w:rsidRPr="00344BAD">
        <w:trPr>
          <w:trHeight w:val="22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Total other comprehensive income</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color w:val="0000D4"/>
                <w:sz w:val="18"/>
                <w:szCs w:val="18"/>
                <w:u w:val="single"/>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19,883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CE7895" w:rsidRPr="00344BAD">
        <w:trPr>
          <w:trHeight w:val="240"/>
        </w:trPr>
        <w:tc>
          <w:tcPr>
            <w:tcW w:w="645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c>
          <w:tcPr>
            <w:tcW w:w="65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c>
          <w:tcPr>
            <w:tcW w:w="29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r>
      <w:tr w:rsidR="00CE7895" w:rsidRPr="00344BAD">
        <w:trPr>
          <w:trHeight w:val="480"/>
        </w:trPr>
        <w:tc>
          <w:tcPr>
            <w:tcW w:w="6456" w:type="dxa"/>
            <w:tcBorders>
              <w:top w:val="nil"/>
              <w:left w:val="nil"/>
              <w:bottom w:val="nil"/>
              <w:right w:val="nil"/>
            </w:tcBorders>
            <w:shd w:val="clear" w:color="auto" w:fill="auto"/>
            <w:vAlign w:val="bottom"/>
          </w:tcPr>
          <w:p w:rsidR="00CE7895" w:rsidRPr="00344BAD" w:rsidRDefault="00CE7895" w:rsidP="00CE7895">
            <w:pPr>
              <w:spacing w:after="0" w:line="240" w:lineRule="auto"/>
              <w:rPr>
                <w:rFonts w:eastAsia="Times New Roman" w:cs="Arial"/>
                <w:b/>
                <w:bCs/>
                <w:sz w:val="18"/>
                <w:szCs w:val="18"/>
                <w:lang w:val="en-AU"/>
              </w:rPr>
            </w:pPr>
            <w:r w:rsidRPr="00344BAD">
              <w:rPr>
                <w:rFonts w:eastAsia="Times New Roman" w:cs="Arial"/>
                <w:b/>
                <w:bCs/>
                <w:sz w:val="18"/>
                <w:szCs w:val="18"/>
                <w:lang w:val="en-AU"/>
              </w:rPr>
              <w:t>Total comprehensive income attributable to the Australian Government</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965,320 </w:t>
            </w: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CE7895" w:rsidRPr="00344BAD" w:rsidRDefault="00CE7895" w:rsidP="00CE7895">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1,421,706 </w:t>
            </w:r>
          </w:p>
        </w:tc>
      </w:tr>
      <w:tr w:rsidR="00CE7895" w:rsidRPr="00344BAD">
        <w:trPr>
          <w:trHeight w:val="240"/>
        </w:trPr>
        <w:tc>
          <w:tcPr>
            <w:tcW w:w="6456" w:type="dxa"/>
            <w:tcBorders>
              <w:top w:val="nil"/>
              <w:left w:val="nil"/>
              <w:bottom w:val="nil"/>
              <w:right w:val="nil"/>
            </w:tcBorders>
            <w:shd w:val="clear" w:color="auto" w:fill="auto"/>
            <w:noWrap/>
          </w:tcPr>
          <w:p w:rsidR="00CE7895" w:rsidRPr="00344BAD" w:rsidRDefault="00CE7895" w:rsidP="00CE7895">
            <w:pPr>
              <w:spacing w:after="0" w:line="240" w:lineRule="auto"/>
              <w:rPr>
                <w:rFonts w:eastAsia="Times New Roman" w:cs="Arial"/>
                <w:sz w:val="18"/>
                <w:szCs w:val="18"/>
                <w:lang w:val="en-AU"/>
              </w:rPr>
            </w:pPr>
          </w:p>
        </w:tc>
        <w:tc>
          <w:tcPr>
            <w:tcW w:w="656" w:type="dxa"/>
            <w:tcBorders>
              <w:top w:val="nil"/>
              <w:left w:val="nil"/>
              <w:bottom w:val="nil"/>
              <w:right w:val="nil"/>
            </w:tcBorders>
            <w:shd w:val="clear" w:color="auto" w:fill="auto"/>
            <w:noWrap/>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tcPr>
          <w:p w:rsidR="00CE7895" w:rsidRPr="00344BAD" w:rsidRDefault="00CE7895" w:rsidP="00CE7895">
            <w:pPr>
              <w:spacing w:after="0" w:line="240" w:lineRule="auto"/>
              <w:rPr>
                <w:rFonts w:eastAsia="Times New Roman" w:cs="Arial"/>
                <w:sz w:val="18"/>
                <w:szCs w:val="18"/>
                <w:lang w:val="en-AU"/>
              </w:rPr>
            </w:pPr>
          </w:p>
        </w:tc>
        <w:tc>
          <w:tcPr>
            <w:tcW w:w="296" w:type="dxa"/>
            <w:tcBorders>
              <w:top w:val="nil"/>
              <w:left w:val="nil"/>
              <w:bottom w:val="nil"/>
              <w:right w:val="nil"/>
            </w:tcBorders>
            <w:shd w:val="clear" w:color="auto" w:fill="auto"/>
            <w:noWrap/>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r>
      <w:tr w:rsidR="00CE7895" w:rsidRPr="00344BAD">
        <w:trPr>
          <w:trHeight w:val="240"/>
        </w:trPr>
        <w:tc>
          <w:tcPr>
            <w:tcW w:w="645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c>
          <w:tcPr>
            <w:tcW w:w="65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c>
          <w:tcPr>
            <w:tcW w:w="29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CE7895" w:rsidRPr="00344BAD" w:rsidRDefault="00CE7895" w:rsidP="00CE7895">
            <w:pPr>
              <w:spacing w:after="0" w:line="240" w:lineRule="auto"/>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r>
      <w:tr w:rsidR="00CE7895" w:rsidRPr="00344BAD">
        <w:trPr>
          <w:trHeight w:val="220"/>
        </w:trPr>
        <w:tc>
          <w:tcPr>
            <w:tcW w:w="6456" w:type="dxa"/>
            <w:tcBorders>
              <w:top w:val="nil"/>
              <w:left w:val="nil"/>
              <w:bottom w:val="nil"/>
              <w:right w:val="nil"/>
            </w:tcBorders>
            <w:shd w:val="clear" w:color="auto" w:fill="auto"/>
            <w:noWrap/>
          </w:tcPr>
          <w:p w:rsidR="00CE7895" w:rsidRPr="00344BAD" w:rsidRDefault="00CE7895" w:rsidP="00CE7895">
            <w:pPr>
              <w:spacing w:after="0" w:line="240" w:lineRule="auto"/>
              <w:rPr>
                <w:rFonts w:eastAsia="Times New Roman" w:cs="Arial"/>
                <w:sz w:val="18"/>
                <w:szCs w:val="18"/>
                <w:lang w:val="en-AU"/>
              </w:rPr>
            </w:pPr>
            <w:r w:rsidRPr="00344BAD">
              <w:rPr>
                <w:rFonts w:eastAsia="Times New Roman" w:cs="Arial"/>
                <w:sz w:val="18"/>
                <w:szCs w:val="18"/>
                <w:lang w:val="en-AU"/>
              </w:rPr>
              <w:t>The above statement should be read in conjunction with the accompanying notes.</w:t>
            </w:r>
          </w:p>
        </w:tc>
        <w:tc>
          <w:tcPr>
            <w:tcW w:w="65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29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CE7895" w:rsidRPr="00344BAD" w:rsidRDefault="00CE7895" w:rsidP="00CE7895">
            <w:pPr>
              <w:spacing w:after="0" w:line="240" w:lineRule="auto"/>
              <w:rPr>
                <w:rFonts w:eastAsia="Times New Roman" w:cs="Arial"/>
                <w:sz w:val="18"/>
                <w:szCs w:val="18"/>
                <w:lang w:val="en-AU"/>
              </w:rPr>
            </w:pPr>
          </w:p>
        </w:tc>
      </w:tr>
    </w:tbl>
    <w:p w:rsidR="00CE7895" w:rsidRPr="00344BAD" w:rsidRDefault="00CE7895" w:rsidP="00223AA9">
      <w:pPr>
        <w:pStyle w:val="Heading2"/>
        <w:rPr>
          <w:rFonts w:cs="Arial"/>
        </w:rPr>
      </w:pPr>
    </w:p>
    <w:p w:rsidR="00CE7895" w:rsidRDefault="00CE7895" w:rsidP="00CE7895">
      <w:r>
        <w:br w:type="page"/>
      </w:r>
    </w:p>
    <w:tbl>
      <w:tblPr>
        <w:tblW w:w="8277" w:type="dxa"/>
        <w:tblInd w:w="108" w:type="dxa"/>
        <w:tblLook w:val="04A0"/>
      </w:tblPr>
      <w:tblGrid>
        <w:gridCol w:w="3852"/>
        <w:gridCol w:w="1502"/>
        <w:gridCol w:w="1383"/>
        <w:gridCol w:w="236"/>
        <w:gridCol w:w="1304"/>
      </w:tblGrid>
      <w:tr w:rsidR="00CE7895" w:rsidRPr="00CE7895">
        <w:trPr>
          <w:trHeight w:val="220"/>
        </w:trPr>
        <w:tc>
          <w:tcPr>
            <w:tcW w:w="8277" w:type="dxa"/>
            <w:gridSpan w:val="5"/>
            <w:tcBorders>
              <w:top w:val="nil"/>
              <w:left w:val="nil"/>
              <w:right w:val="nil"/>
            </w:tcBorders>
            <w:shd w:val="clear" w:color="auto" w:fill="auto"/>
            <w:noWrap/>
            <w:vAlign w:val="bottom"/>
          </w:tcPr>
          <w:p w:rsidR="00CE7895" w:rsidRPr="00CE7895" w:rsidRDefault="00CE7895" w:rsidP="003E2EFF">
            <w:pPr>
              <w:pStyle w:val="Financialsnotehead"/>
            </w:pPr>
            <w:bookmarkStart w:id="214" w:name="RANGE!C1:G42"/>
            <w:r w:rsidRPr="00CE7895">
              <w:t>STATEMENT OF FINANCIAL POSITION</w:t>
            </w:r>
            <w:bookmarkEnd w:id="214"/>
          </w:p>
        </w:tc>
      </w:tr>
      <w:tr w:rsidR="00CE7895" w:rsidRPr="00CE7895">
        <w:trPr>
          <w:trHeight w:val="240"/>
        </w:trPr>
        <w:tc>
          <w:tcPr>
            <w:tcW w:w="8277" w:type="dxa"/>
            <w:gridSpan w:val="5"/>
            <w:tcBorders>
              <w:top w:val="nil"/>
              <w:left w:val="nil"/>
              <w:bottom w:val="single" w:sz="4" w:space="0" w:color="auto"/>
              <w:right w:val="nil"/>
            </w:tcBorders>
            <w:shd w:val="clear" w:color="auto" w:fill="auto"/>
            <w:noWrap/>
            <w:vAlign w:val="bottom"/>
          </w:tcPr>
          <w:p w:rsidR="00CE7895" w:rsidRPr="00CE7895" w:rsidRDefault="00CE7895" w:rsidP="003E2EFF">
            <w:pPr>
              <w:rPr>
                <w:lang w:val="en-AU"/>
              </w:rPr>
            </w:pPr>
            <w:proofErr w:type="gramStart"/>
            <w:r w:rsidRPr="00CE7895">
              <w:rPr>
                <w:lang w:val="en-AU"/>
              </w:rPr>
              <w:t>as</w:t>
            </w:r>
            <w:proofErr w:type="gramEnd"/>
            <w:r w:rsidRPr="00CE7895">
              <w:rPr>
                <w:lang w:val="en-AU"/>
              </w:rPr>
              <w:t xml:space="preserve"> at 30 June 2014</w:t>
            </w:r>
          </w:p>
        </w:tc>
      </w:tr>
      <w:tr w:rsidR="00CE7895" w:rsidRPr="003E2EFF">
        <w:trPr>
          <w:trHeight w:val="240"/>
        </w:trPr>
        <w:tc>
          <w:tcPr>
            <w:tcW w:w="3997" w:type="dxa"/>
            <w:tcBorders>
              <w:top w:val="single" w:sz="4" w:space="0" w:color="auto"/>
              <w:left w:val="nil"/>
              <w:bottom w:val="nil"/>
              <w:right w:val="nil"/>
            </w:tcBorders>
            <w:shd w:val="clear" w:color="auto" w:fill="auto"/>
            <w:noWrap/>
          </w:tcPr>
          <w:p w:rsidR="00CE7895" w:rsidRPr="003E2EFF" w:rsidRDefault="00CE7895" w:rsidP="00CE7895">
            <w:pPr>
              <w:spacing w:after="0" w:line="240" w:lineRule="auto"/>
              <w:rPr>
                <w:rFonts w:eastAsia="Times New Roman" w:cs="Arial"/>
                <w:sz w:val="18"/>
                <w:szCs w:val="18"/>
                <w:lang w:val="en-AU"/>
              </w:rPr>
            </w:pPr>
          </w:p>
        </w:tc>
        <w:tc>
          <w:tcPr>
            <w:tcW w:w="1546" w:type="dxa"/>
            <w:tcBorders>
              <w:top w:val="single" w:sz="4" w:space="0" w:color="auto"/>
              <w:left w:val="nil"/>
              <w:bottom w:val="nil"/>
              <w:right w:val="nil"/>
            </w:tcBorders>
            <w:shd w:val="clear" w:color="auto" w:fill="auto"/>
            <w:noWrap/>
          </w:tcPr>
          <w:p w:rsidR="00CE7895" w:rsidRPr="003E2EFF" w:rsidRDefault="00CE7895" w:rsidP="00CE7895">
            <w:pPr>
              <w:spacing w:after="0" w:line="240" w:lineRule="auto"/>
              <w:rPr>
                <w:rFonts w:eastAsia="Times New Roman" w:cs="Arial"/>
                <w:sz w:val="18"/>
                <w:szCs w:val="18"/>
                <w:lang w:val="en-AU"/>
              </w:rPr>
            </w:pPr>
          </w:p>
        </w:tc>
        <w:tc>
          <w:tcPr>
            <w:tcW w:w="1403" w:type="dxa"/>
            <w:tcBorders>
              <w:top w:val="single" w:sz="4" w:space="0" w:color="auto"/>
              <w:left w:val="nil"/>
              <w:bottom w:val="nil"/>
              <w:right w:val="nil"/>
            </w:tcBorders>
            <w:shd w:val="clear" w:color="auto" w:fill="auto"/>
            <w:noWrap/>
          </w:tcPr>
          <w:p w:rsidR="00CE7895" w:rsidRPr="003E2EFF" w:rsidRDefault="00CE7895" w:rsidP="00CE7895">
            <w:pPr>
              <w:spacing w:after="0" w:line="240" w:lineRule="auto"/>
              <w:rPr>
                <w:rFonts w:eastAsia="Times New Roman" w:cs="Arial"/>
                <w:sz w:val="18"/>
                <w:szCs w:val="18"/>
                <w:lang w:val="en-AU"/>
              </w:rPr>
            </w:pPr>
          </w:p>
        </w:tc>
        <w:tc>
          <w:tcPr>
            <w:tcW w:w="11" w:type="dxa"/>
            <w:tcBorders>
              <w:top w:val="single" w:sz="4" w:space="0" w:color="auto"/>
              <w:left w:val="nil"/>
              <w:bottom w:val="nil"/>
              <w:right w:val="nil"/>
            </w:tcBorders>
            <w:shd w:val="clear" w:color="auto" w:fill="auto"/>
            <w:noWrap/>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nil"/>
              <w:right w:val="nil"/>
            </w:tcBorders>
            <w:shd w:val="clear" w:color="auto" w:fill="auto"/>
            <w:noWrap/>
          </w:tcPr>
          <w:p w:rsidR="00CE7895" w:rsidRPr="003E2EFF" w:rsidRDefault="00CE7895" w:rsidP="00CE7895">
            <w:pPr>
              <w:spacing w:after="0" w:line="240" w:lineRule="auto"/>
              <w:rPr>
                <w:rFonts w:eastAsia="Times New Roman" w:cs="Arial"/>
                <w:sz w:val="18"/>
                <w:szCs w:val="18"/>
                <w:lang w:val="en-AU"/>
              </w:rPr>
            </w:pPr>
          </w:p>
        </w:tc>
      </w:tr>
      <w:tr w:rsidR="00CE7895" w:rsidRPr="003E2EFF">
        <w:trPr>
          <w:trHeight w:val="220"/>
        </w:trPr>
        <w:tc>
          <w:tcPr>
            <w:tcW w:w="3997" w:type="dxa"/>
            <w:tcBorders>
              <w:top w:val="nil"/>
              <w:left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546" w:type="dxa"/>
            <w:tcBorders>
              <w:top w:val="nil"/>
              <w:left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nil"/>
              <w:left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2014 </w:t>
            </w:r>
          </w:p>
        </w:tc>
        <w:tc>
          <w:tcPr>
            <w:tcW w:w="11" w:type="dxa"/>
            <w:tcBorders>
              <w:top w:val="nil"/>
              <w:left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2013 </w:t>
            </w:r>
          </w:p>
        </w:tc>
      </w:tr>
      <w:tr w:rsidR="00CE7895" w:rsidRPr="003E2EFF">
        <w:trPr>
          <w:trHeight w:val="220"/>
        </w:trPr>
        <w:tc>
          <w:tcPr>
            <w:tcW w:w="3997" w:type="dxa"/>
            <w:tcBorders>
              <w:top w:val="nil"/>
              <w:left w:val="nil"/>
              <w:bottom w:val="single" w:sz="4" w:space="0" w:color="auto"/>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546" w:type="dxa"/>
            <w:tcBorders>
              <w:top w:val="nil"/>
              <w:left w:val="nil"/>
              <w:bottom w:val="single" w:sz="4" w:space="0" w:color="auto"/>
              <w:right w:val="nil"/>
            </w:tcBorders>
            <w:shd w:val="clear" w:color="auto" w:fill="auto"/>
            <w:noWrap/>
            <w:vAlign w:val="bottom"/>
          </w:tcPr>
          <w:p w:rsidR="00CE7895" w:rsidRPr="003E2EFF" w:rsidRDefault="00CE7895" w:rsidP="00CE7895">
            <w:pPr>
              <w:spacing w:after="0" w:line="240" w:lineRule="auto"/>
              <w:jc w:val="center"/>
              <w:rPr>
                <w:rFonts w:eastAsia="Times New Roman" w:cs="Arial"/>
                <w:b/>
                <w:bCs/>
                <w:sz w:val="18"/>
                <w:szCs w:val="18"/>
                <w:lang w:val="en-AU"/>
              </w:rPr>
            </w:pPr>
            <w:r w:rsidRPr="003E2EFF">
              <w:rPr>
                <w:rFonts w:eastAsia="Times New Roman" w:cs="Arial"/>
                <w:b/>
                <w:bCs/>
                <w:sz w:val="18"/>
                <w:szCs w:val="18"/>
                <w:lang w:val="en-AU"/>
              </w:rPr>
              <w:t>Notes</w:t>
            </w:r>
          </w:p>
        </w:tc>
        <w:tc>
          <w:tcPr>
            <w:tcW w:w="1403" w:type="dxa"/>
            <w:tcBorders>
              <w:top w:val="nil"/>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w:t>
            </w:r>
          </w:p>
        </w:tc>
        <w:tc>
          <w:tcPr>
            <w:tcW w:w="11" w:type="dxa"/>
            <w:tcBorders>
              <w:top w:val="nil"/>
              <w:left w:val="nil"/>
              <w:bottom w:val="single" w:sz="4" w:space="0" w:color="auto"/>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w:t>
            </w:r>
          </w:p>
        </w:tc>
      </w:tr>
      <w:tr w:rsidR="00CE7895" w:rsidRPr="003E2EFF">
        <w:trPr>
          <w:trHeight w:val="220"/>
        </w:trPr>
        <w:tc>
          <w:tcPr>
            <w:tcW w:w="3997" w:type="dxa"/>
            <w:tcBorders>
              <w:top w:val="single" w:sz="4" w:space="0" w:color="auto"/>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ASSETS</w:t>
            </w:r>
          </w:p>
        </w:tc>
        <w:tc>
          <w:tcPr>
            <w:tcW w:w="1546" w:type="dxa"/>
            <w:tcBorders>
              <w:top w:val="single" w:sz="4" w:space="0" w:color="auto"/>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single" w:sz="4" w:space="0" w:color="auto"/>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1" w:type="dxa"/>
            <w:tcBorders>
              <w:top w:val="single" w:sz="4" w:space="0" w:color="auto"/>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Financial Assets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Cash and cash equivalents</w:t>
            </w:r>
          </w:p>
        </w:tc>
        <w:tc>
          <w:tcPr>
            <w:tcW w:w="1546"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6A</w:t>
              </w:r>
            </w:hyperlink>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78,925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96,226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Trade and other receivables</w:t>
            </w:r>
          </w:p>
        </w:tc>
        <w:tc>
          <w:tcPr>
            <w:tcW w:w="1546"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6B</w:t>
              </w:r>
            </w:hyperlink>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7,942,423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6,369,335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Total financial assets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8,021,348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6,465,561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Non-Financial Assets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Land and buildings</w:t>
            </w:r>
          </w:p>
        </w:tc>
        <w:tc>
          <w:tcPr>
            <w:tcW w:w="1546"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7A,C</w:t>
              </w:r>
            </w:hyperlink>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261,700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314,478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Property, plant and equipment</w:t>
            </w:r>
          </w:p>
        </w:tc>
        <w:tc>
          <w:tcPr>
            <w:tcW w:w="1546"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7B,C</w:t>
              </w:r>
            </w:hyperlink>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171,070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258,876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Intangibles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20"/>
                <w:szCs w:val="20"/>
                <w:lang w:val="en-AU"/>
              </w:rPr>
            </w:pPr>
            <w:r w:rsidRPr="003E2EFF">
              <w:rPr>
                <w:rFonts w:eastAsia="Times New Roman" w:cs="Arial"/>
                <w:noProof/>
                <w:sz w:val="20"/>
                <w:szCs w:val="20"/>
              </w:rPr>
              <w:drawing>
                <wp:inline distT="0" distB="0" distL="0" distR="0">
                  <wp:extent cx="180975" cy="10795"/>
                  <wp:effectExtent l="0" t="0" r="0" b="0"/>
                  <wp:docPr id="1" name="Picture 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pic:cNvPicPr>
                            <a:picLocks noChangeAspect="1" noChangeArrowheads="1"/>
                          </pic:cNvPicPr>
                        </pic:nvPicPr>
                        <pic:blipFill>
                          <a:blip r:embed="rId1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975" cy="10795"/>
                          </a:xfrm>
                          <a:prstGeom prst="rect">
                            <a:avLst/>
                          </a:prstGeom>
                          <a:noFill/>
                          <a:ln>
                            <a:noFill/>
                          </a:ln>
                        </pic:spPr>
                      </pic:pic>
                    </a:graphicData>
                  </a:graphic>
                </wp:inline>
              </w:drawing>
            </w:r>
            <w:r w:rsidRPr="003E2EFF">
              <w:rPr>
                <w:rFonts w:eastAsia="Times New Roman" w:cs="Arial"/>
                <w:noProof/>
                <w:sz w:val="20"/>
                <w:szCs w:val="20"/>
              </w:rPr>
              <w:drawing>
                <wp:inline distT="0" distB="0" distL="0" distR="0">
                  <wp:extent cx="180975" cy="10795"/>
                  <wp:effectExtent l="0" t="0" r="0" b="0"/>
                  <wp:docPr id="2" name="Picture 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pic:cNvPicPr>
                            <a:picLocks noChangeAspect="1" noChangeArrowheads="1"/>
                          </pic:cNvPicPr>
                        </pic:nvPicPr>
                        <pic:blipFill>
                          <a:blip r:embed="rId1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975" cy="10795"/>
                          </a:xfrm>
                          <a:prstGeom prst="rect">
                            <a:avLst/>
                          </a:prstGeom>
                          <a:noFill/>
                          <a:ln>
                            <a:noFill/>
                          </a:ln>
                        </pic:spPr>
                      </pic:pic>
                    </a:graphicData>
                  </a:graphic>
                </wp:inline>
              </w:drawing>
            </w:r>
          </w:p>
          <w:tbl>
            <w:tblPr>
              <w:tblW w:w="0" w:type="auto"/>
              <w:tblCellSpacing w:w="0" w:type="dxa"/>
              <w:tblCellMar>
                <w:left w:w="0" w:type="dxa"/>
                <w:right w:w="0" w:type="dxa"/>
              </w:tblCellMar>
              <w:tblLook w:val="04A0"/>
            </w:tblPr>
            <w:tblGrid>
              <w:gridCol w:w="540"/>
            </w:tblGrid>
            <w:tr w:rsidR="00CE7895" w:rsidRPr="003E2EFF">
              <w:trPr>
                <w:trHeight w:val="220"/>
                <w:tblCellSpacing w:w="0" w:type="dxa"/>
              </w:trPr>
              <w:tc>
                <w:tcPr>
                  <w:tcW w:w="540"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7D,E</w:t>
                    </w:r>
                  </w:hyperlink>
                </w:p>
              </w:tc>
            </w:tr>
          </w:tbl>
          <w:p w:rsidR="00CE7895" w:rsidRPr="003E2EFF" w:rsidRDefault="00CE7895" w:rsidP="00CE7895">
            <w:pPr>
              <w:spacing w:after="0" w:line="240" w:lineRule="auto"/>
              <w:rPr>
                <w:rFonts w:eastAsia="Times New Roman" w:cs="Arial"/>
                <w:sz w:val="20"/>
                <w:szCs w:val="20"/>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33,430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26,908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Other</w:t>
            </w:r>
          </w:p>
        </w:tc>
        <w:tc>
          <w:tcPr>
            <w:tcW w:w="1546"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7F</w:t>
              </w:r>
            </w:hyperlink>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36,498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37,554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Total non-financial assets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502,698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637,816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Total assets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8,524,046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7,103,377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LIABILITIES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Payables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Suppliers</w:t>
            </w:r>
          </w:p>
        </w:tc>
        <w:tc>
          <w:tcPr>
            <w:tcW w:w="1546"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8A</w:t>
              </w:r>
            </w:hyperlink>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244,717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402,214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Other payables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20"/>
                <w:szCs w:val="20"/>
                <w:lang w:val="en-AU"/>
              </w:rPr>
            </w:pPr>
            <w:r w:rsidRPr="003E2EFF">
              <w:rPr>
                <w:rFonts w:eastAsia="Times New Roman" w:cs="Arial"/>
                <w:noProof/>
                <w:sz w:val="20"/>
                <w:szCs w:val="20"/>
              </w:rPr>
              <w:drawing>
                <wp:inline distT="0" distB="0" distL="0" distR="0">
                  <wp:extent cx="180975" cy="10795"/>
                  <wp:effectExtent l="0" t="0" r="0" b="0"/>
                  <wp:docPr id="3" name="Picture 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pic:cNvPicPr>
                            <a:picLocks noChangeAspect="1" noChangeArrowheads="1"/>
                          </pic:cNvPicPr>
                        </pic:nvPicPr>
                        <pic:blipFill>
                          <a:blip r:embed="rId1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975" cy="10795"/>
                          </a:xfrm>
                          <a:prstGeom prst="rect">
                            <a:avLst/>
                          </a:prstGeom>
                          <a:noFill/>
                          <a:ln>
                            <a:noFill/>
                          </a:ln>
                        </pic:spPr>
                      </pic:pic>
                    </a:graphicData>
                  </a:graphic>
                </wp:inline>
              </w:drawing>
            </w:r>
            <w:r w:rsidRPr="003E2EFF">
              <w:rPr>
                <w:rFonts w:eastAsia="Times New Roman" w:cs="Arial"/>
                <w:noProof/>
                <w:sz w:val="20"/>
                <w:szCs w:val="20"/>
              </w:rPr>
              <w:drawing>
                <wp:inline distT="0" distB="0" distL="0" distR="0">
                  <wp:extent cx="180975" cy="10795"/>
                  <wp:effectExtent l="0" t="0" r="0" b="0"/>
                  <wp:docPr id="4" name="Picture 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pic:cNvPicPr>
                            <a:picLocks noChangeAspect="1" noChangeArrowheads="1"/>
                          </pic:cNvPicPr>
                        </pic:nvPicPr>
                        <pic:blipFill>
                          <a:blip r:embed="rId1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975" cy="10795"/>
                          </a:xfrm>
                          <a:prstGeom prst="rect">
                            <a:avLst/>
                          </a:prstGeom>
                          <a:noFill/>
                          <a:ln>
                            <a:noFill/>
                          </a:ln>
                        </pic:spPr>
                      </pic:pic>
                    </a:graphicData>
                  </a:graphic>
                </wp:inline>
              </w:drawing>
            </w:r>
            <w:r w:rsidRPr="003E2EFF">
              <w:rPr>
                <w:rFonts w:eastAsia="Times New Roman" w:cs="Arial"/>
                <w:noProof/>
                <w:sz w:val="20"/>
                <w:szCs w:val="20"/>
              </w:rPr>
              <w:drawing>
                <wp:inline distT="0" distB="0" distL="0" distR="0">
                  <wp:extent cx="180975" cy="10795"/>
                  <wp:effectExtent l="0" t="0" r="0" b="0"/>
                  <wp:docPr id="5" name="Picture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1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975" cy="10795"/>
                          </a:xfrm>
                          <a:prstGeom prst="rect">
                            <a:avLst/>
                          </a:prstGeom>
                          <a:noFill/>
                          <a:ln>
                            <a:noFill/>
                          </a:ln>
                        </pic:spPr>
                      </pic:pic>
                    </a:graphicData>
                  </a:graphic>
                </wp:inline>
              </w:drawing>
            </w:r>
          </w:p>
          <w:tbl>
            <w:tblPr>
              <w:tblW w:w="0" w:type="auto"/>
              <w:tblCellSpacing w:w="0" w:type="dxa"/>
              <w:tblCellMar>
                <w:left w:w="0" w:type="dxa"/>
                <w:right w:w="0" w:type="dxa"/>
              </w:tblCellMar>
              <w:tblLook w:val="04A0"/>
            </w:tblPr>
            <w:tblGrid>
              <w:gridCol w:w="540"/>
            </w:tblGrid>
            <w:tr w:rsidR="00CE7895" w:rsidRPr="003E2EFF">
              <w:trPr>
                <w:trHeight w:val="220"/>
                <w:tblCellSpacing w:w="0" w:type="dxa"/>
              </w:trPr>
              <w:tc>
                <w:tcPr>
                  <w:tcW w:w="540"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8B</w:t>
                    </w:r>
                  </w:hyperlink>
                </w:p>
              </w:tc>
            </w:tr>
          </w:tbl>
          <w:p w:rsidR="00CE7895" w:rsidRPr="003E2EFF" w:rsidRDefault="00CE7895" w:rsidP="00CE7895">
            <w:pPr>
              <w:spacing w:after="0" w:line="240" w:lineRule="auto"/>
              <w:rPr>
                <w:rFonts w:eastAsia="Times New Roman" w:cs="Arial"/>
                <w:sz w:val="20"/>
                <w:szCs w:val="20"/>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95,692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65,870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Total payables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340,409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468,084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Provisions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color w:val="0000D4"/>
                <w:sz w:val="18"/>
                <w:szCs w:val="18"/>
                <w:u w:val="single"/>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Employee provisions</w:t>
            </w:r>
          </w:p>
        </w:tc>
        <w:tc>
          <w:tcPr>
            <w:tcW w:w="1546"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9A</w:t>
              </w:r>
            </w:hyperlink>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543,936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413,952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Other provisions</w:t>
            </w:r>
          </w:p>
        </w:tc>
        <w:tc>
          <w:tcPr>
            <w:tcW w:w="1546" w:type="dxa"/>
            <w:tcBorders>
              <w:top w:val="nil"/>
              <w:left w:val="nil"/>
              <w:bottom w:val="nil"/>
              <w:right w:val="nil"/>
            </w:tcBorders>
            <w:shd w:val="clear" w:color="auto" w:fill="auto"/>
            <w:noWrap/>
            <w:vAlign w:val="bottom"/>
          </w:tcPr>
          <w:p w:rsidR="00CE7895" w:rsidRPr="003E2EFF" w:rsidRDefault="00FC6B5C" w:rsidP="00CE7895">
            <w:pPr>
              <w:spacing w:after="0" w:line="240" w:lineRule="auto"/>
              <w:rPr>
                <w:rFonts w:eastAsia="Times New Roman" w:cs="Arial"/>
                <w:color w:val="0000D4"/>
                <w:sz w:val="18"/>
                <w:szCs w:val="18"/>
                <w:u w:val="single"/>
                <w:lang w:val="en-AU"/>
              </w:rPr>
            </w:pPr>
            <w:hyperlink w:anchor="RANGE!A1" w:history="1">
              <w:r w:rsidR="00CE7895" w:rsidRPr="003E2EFF">
                <w:rPr>
                  <w:rFonts w:eastAsia="Times New Roman" w:cs="Arial"/>
                  <w:color w:val="0000D4"/>
                  <w:sz w:val="18"/>
                  <w:szCs w:val="18"/>
                  <w:u w:val="single"/>
                  <w:lang w:val="en-AU"/>
                </w:rPr>
                <w:t>9B</w:t>
              </w:r>
            </w:hyperlink>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82,000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83,960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Total provisions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center"/>
              <w:rPr>
                <w:rFonts w:eastAsia="Times New Roman" w:cs="Arial"/>
                <w:i/>
                <w:iCs/>
                <w:sz w:val="18"/>
                <w:szCs w:val="18"/>
                <w:lang w:val="en-AU"/>
              </w:rPr>
            </w:pPr>
          </w:p>
        </w:tc>
        <w:tc>
          <w:tcPr>
            <w:tcW w:w="1403"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625,936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497,912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center"/>
              <w:rPr>
                <w:rFonts w:eastAsia="Times New Roman" w:cs="Arial"/>
                <w:i/>
                <w:iCs/>
                <w:sz w:val="18"/>
                <w:szCs w:val="18"/>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Total liabilities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966,345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965,996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Net assets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bookmarkStart w:id="215" w:name="RANGE!E32"/>
            <w:r w:rsidRPr="003E2EFF">
              <w:rPr>
                <w:rFonts w:eastAsia="Times New Roman" w:cs="Arial"/>
                <w:b/>
                <w:bCs/>
                <w:sz w:val="18"/>
                <w:szCs w:val="18"/>
                <w:lang w:val="en-AU"/>
              </w:rPr>
              <w:t xml:space="preserve">7,557,701 </w:t>
            </w:r>
            <w:bookmarkEnd w:id="215"/>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bookmarkStart w:id="216" w:name="RANGE!G32"/>
            <w:r w:rsidRPr="003E2EFF">
              <w:rPr>
                <w:rFonts w:eastAsia="Times New Roman" w:cs="Arial"/>
                <w:sz w:val="18"/>
                <w:szCs w:val="18"/>
                <w:lang w:val="en-AU"/>
              </w:rPr>
              <w:t xml:space="preserve">6,137,381 </w:t>
            </w:r>
            <w:bookmarkEnd w:id="216"/>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EQUITY</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Parent Entity Interest</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Contributed equity</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1,940,000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1,485,000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Reserves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497,554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477,671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Retained surplus</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5,120,147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4,174,710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Total parent entity interest</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center"/>
              <w:rPr>
                <w:rFonts w:eastAsia="Times New Roman" w:cs="Arial"/>
                <w:i/>
                <w:iCs/>
                <w:sz w:val="18"/>
                <w:szCs w:val="18"/>
                <w:lang w:val="en-AU"/>
              </w:rPr>
            </w:pPr>
          </w:p>
        </w:tc>
        <w:tc>
          <w:tcPr>
            <w:tcW w:w="1403"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7,557,701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6,137,381 </w:t>
            </w:r>
          </w:p>
        </w:tc>
      </w:tr>
      <w:tr w:rsidR="00CE7895" w:rsidRPr="003E2EFF">
        <w:trPr>
          <w:trHeight w:val="24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r w:rsidRPr="003E2EFF">
              <w:rPr>
                <w:rFonts w:eastAsia="Times New Roman" w:cs="Arial"/>
                <w:b/>
                <w:bCs/>
                <w:sz w:val="18"/>
                <w:szCs w:val="18"/>
                <w:lang w:val="en-AU"/>
              </w:rPr>
              <w:t>Total equity</w:t>
            </w: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403"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7,557,701 </w:t>
            </w: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single" w:sz="4" w:space="0" w:color="auto"/>
              <w:left w:val="nil"/>
              <w:bottom w:val="single" w:sz="4" w:space="0" w:color="auto"/>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6,137,381 </w:t>
            </w:r>
          </w:p>
        </w:tc>
      </w:tr>
      <w:tr w:rsidR="00CE7895" w:rsidRPr="003E2EFF">
        <w:trPr>
          <w:trHeight w:val="220"/>
        </w:trPr>
        <w:tc>
          <w:tcPr>
            <w:tcW w:w="3997"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b/>
                <w:bCs/>
                <w:sz w:val="18"/>
                <w:szCs w:val="18"/>
                <w:lang w:val="en-AU"/>
              </w:rPr>
            </w:pPr>
          </w:p>
        </w:tc>
        <w:tc>
          <w:tcPr>
            <w:tcW w:w="1546"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center"/>
              <w:rPr>
                <w:rFonts w:eastAsia="Times New Roman" w:cs="Arial"/>
                <w:i/>
                <w:iCs/>
                <w:sz w:val="18"/>
                <w:szCs w:val="18"/>
                <w:lang w:val="en-AU"/>
              </w:rPr>
            </w:pPr>
          </w:p>
        </w:tc>
        <w:tc>
          <w:tcPr>
            <w:tcW w:w="1403"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b/>
                <w:bCs/>
                <w:sz w:val="18"/>
                <w:szCs w:val="18"/>
                <w:lang w:val="en-AU"/>
              </w:rPr>
            </w:pPr>
          </w:p>
        </w:tc>
        <w:tc>
          <w:tcPr>
            <w:tcW w:w="11" w:type="dxa"/>
            <w:tcBorders>
              <w:top w:val="nil"/>
              <w:left w:val="nil"/>
              <w:bottom w:val="nil"/>
              <w:right w:val="nil"/>
            </w:tcBorders>
            <w:shd w:val="clear" w:color="auto" w:fill="auto"/>
            <w:noWrap/>
            <w:vAlign w:val="bottom"/>
          </w:tcPr>
          <w:p w:rsidR="00CE7895" w:rsidRPr="003E2EFF" w:rsidRDefault="00CE7895" w:rsidP="00CE7895">
            <w:pPr>
              <w:spacing w:after="0" w:line="240" w:lineRule="auto"/>
              <w:rPr>
                <w:rFonts w:eastAsia="Times New Roman" w:cs="Arial"/>
                <w:sz w:val="18"/>
                <w:szCs w:val="18"/>
                <w:lang w:val="en-AU"/>
              </w:rPr>
            </w:pPr>
          </w:p>
        </w:tc>
        <w:tc>
          <w:tcPr>
            <w:tcW w:w="1320" w:type="dxa"/>
            <w:tcBorders>
              <w:top w:val="nil"/>
              <w:left w:val="nil"/>
              <w:bottom w:val="nil"/>
              <w:right w:val="nil"/>
            </w:tcBorders>
            <w:shd w:val="clear" w:color="auto" w:fill="auto"/>
            <w:noWrap/>
            <w:vAlign w:val="bottom"/>
          </w:tcPr>
          <w:p w:rsidR="00CE7895" w:rsidRPr="003E2EFF" w:rsidRDefault="00CE7895" w:rsidP="00CE7895">
            <w:pPr>
              <w:spacing w:after="0" w:line="240" w:lineRule="auto"/>
              <w:jc w:val="right"/>
              <w:rPr>
                <w:rFonts w:eastAsia="Times New Roman" w:cs="Arial"/>
                <w:sz w:val="18"/>
                <w:szCs w:val="18"/>
                <w:lang w:val="en-AU"/>
              </w:rPr>
            </w:pPr>
          </w:p>
        </w:tc>
      </w:tr>
      <w:tr w:rsidR="00CE7895" w:rsidRPr="003E2EFF">
        <w:trPr>
          <w:trHeight w:val="220"/>
        </w:trPr>
        <w:tc>
          <w:tcPr>
            <w:tcW w:w="8277" w:type="dxa"/>
            <w:gridSpan w:val="5"/>
            <w:tcBorders>
              <w:top w:val="nil"/>
              <w:left w:val="nil"/>
              <w:bottom w:val="nil"/>
              <w:right w:val="nil"/>
            </w:tcBorders>
            <w:shd w:val="clear" w:color="auto" w:fill="auto"/>
            <w:noWrap/>
          </w:tcPr>
          <w:p w:rsidR="00CE7895" w:rsidRPr="003E2EFF" w:rsidRDefault="00CE7895" w:rsidP="00CE7895">
            <w:pPr>
              <w:spacing w:after="0" w:line="240" w:lineRule="auto"/>
              <w:rPr>
                <w:rFonts w:eastAsia="Times New Roman" w:cs="Arial"/>
                <w:sz w:val="18"/>
                <w:szCs w:val="18"/>
                <w:lang w:val="en-AU"/>
              </w:rPr>
            </w:pPr>
            <w:r w:rsidRPr="003E2EFF">
              <w:rPr>
                <w:rFonts w:eastAsia="Times New Roman" w:cs="Arial"/>
                <w:sz w:val="18"/>
                <w:szCs w:val="18"/>
                <w:lang w:val="en-AU"/>
              </w:rPr>
              <w:t>The above statement should be read in conjunction with the accompanying notes.</w:t>
            </w:r>
          </w:p>
        </w:tc>
      </w:tr>
    </w:tbl>
    <w:p w:rsidR="003E2EFF" w:rsidRDefault="003E2EFF" w:rsidP="00CE7895">
      <w:pPr>
        <w:sectPr w:rsidR="003E2EFF" w:rsidSect="001E2C73">
          <w:pgSz w:w="11906" w:h="16838"/>
          <w:pgMar w:top="567" w:right="720" w:bottom="1021" w:left="720" w:footer="284" w:gutter="0"/>
          <w:pgNumType w:start="1" w:chapStyle="1"/>
          <w:noEndnote/>
        </w:sectPr>
      </w:pPr>
    </w:p>
    <w:p w:rsidR="00CE7895" w:rsidRDefault="00CE7895" w:rsidP="00CE7895"/>
    <w:tbl>
      <w:tblPr>
        <w:tblW w:w="15412" w:type="dxa"/>
        <w:tblInd w:w="108" w:type="dxa"/>
        <w:tblLayout w:type="fixed"/>
        <w:tblLook w:val="04A0"/>
      </w:tblPr>
      <w:tblGrid>
        <w:gridCol w:w="6068"/>
        <w:gridCol w:w="736"/>
        <w:gridCol w:w="432"/>
        <w:gridCol w:w="1168"/>
        <w:gridCol w:w="1168"/>
        <w:gridCol w:w="493"/>
        <w:gridCol w:w="675"/>
        <w:gridCol w:w="318"/>
        <w:gridCol w:w="850"/>
        <w:gridCol w:w="1168"/>
        <w:gridCol w:w="1168"/>
        <w:gridCol w:w="1168"/>
      </w:tblGrid>
      <w:tr w:rsidR="00DC3A9B" w:rsidRPr="00CE7895">
        <w:trPr>
          <w:gridAfter w:val="4"/>
          <w:wAfter w:w="4354" w:type="dxa"/>
          <w:trHeight w:val="220"/>
        </w:trPr>
        <w:tc>
          <w:tcPr>
            <w:tcW w:w="11058" w:type="dxa"/>
            <w:gridSpan w:val="8"/>
            <w:tcBorders>
              <w:top w:val="nil"/>
              <w:left w:val="nil"/>
              <w:right w:val="nil"/>
            </w:tcBorders>
            <w:shd w:val="clear" w:color="auto" w:fill="auto"/>
            <w:noWrap/>
            <w:vAlign w:val="bottom"/>
          </w:tcPr>
          <w:p w:rsidR="00DC3A9B" w:rsidRPr="00CE7895" w:rsidRDefault="00DC3A9B" w:rsidP="003E2EFF">
            <w:pPr>
              <w:pStyle w:val="Financialsnotehead"/>
            </w:pPr>
            <w:r>
              <w:t xml:space="preserve">STATEMENT OF </w:t>
            </w:r>
            <w:r w:rsidRPr="00CE7895">
              <w:t xml:space="preserve">CHANGES IN EQUITY </w:t>
            </w:r>
          </w:p>
        </w:tc>
      </w:tr>
      <w:tr w:rsidR="00DC3A9B" w:rsidRPr="00CE7895">
        <w:trPr>
          <w:gridAfter w:val="4"/>
          <w:wAfter w:w="4354" w:type="dxa"/>
          <w:trHeight w:val="240"/>
        </w:trPr>
        <w:tc>
          <w:tcPr>
            <w:tcW w:w="6804" w:type="dxa"/>
            <w:gridSpan w:val="2"/>
            <w:tcBorders>
              <w:top w:val="nil"/>
              <w:left w:val="nil"/>
              <w:bottom w:val="single" w:sz="4" w:space="0" w:color="auto"/>
              <w:right w:val="nil"/>
            </w:tcBorders>
            <w:shd w:val="clear" w:color="auto" w:fill="auto"/>
            <w:noWrap/>
            <w:vAlign w:val="bottom"/>
          </w:tcPr>
          <w:p w:rsidR="00CE7895" w:rsidRPr="00CE7895" w:rsidRDefault="00CE7895" w:rsidP="003E2EFF">
            <w:pPr>
              <w:rPr>
                <w:lang w:val="en-AU"/>
              </w:rPr>
            </w:pPr>
            <w:proofErr w:type="gramStart"/>
            <w:r w:rsidRPr="00CE7895">
              <w:rPr>
                <w:lang w:val="en-AU"/>
              </w:rPr>
              <w:t>for</w:t>
            </w:r>
            <w:proofErr w:type="gramEnd"/>
            <w:r w:rsidRPr="00CE7895">
              <w:rPr>
                <w:lang w:val="en-AU"/>
              </w:rPr>
              <w:t xml:space="preserve"> the period ended 30 June 2014</w:t>
            </w:r>
          </w:p>
        </w:tc>
        <w:tc>
          <w:tcPr>
            <w:tcW w:w="3261" w:type="dxa"/>
            <w:gridSpan w:val="4"/>
            <w:tcBorders>
              <w:top w:val="nil"/>
              <w:left w:val="nil"/>
              <w:right w:val="nil"/>
            </w:tcBorders>
            <w:shd w:val="clear" w:color="auto" w:fill="auto"/>
            <w:noWrap/>
            <w:vAlign w:val="bottom"/>
          </w:tcPr>
          <w:p w:rsidR="00CE7895" w:rsidRPr="00CE7895" w:rsidRDefault="00CE7895" w:rsidP="00CE7895">
            <w:pPr>
              <w:spacing w:after="0" w:line="240" w:lineRule="auto"/>
              <w:rPr>
                <w:rFonts w:ascii="Times New Roman" w:eastAsia="Times New Roman" w:hAnsi="Times New Roman" w:cs="Times New Roman"/>
                <w:sz w:val="18"/>
                <w:szCs w:val="18"/>
                <w:lang w:val="en-AU"/>
              </w:rPr>
            </w:pPr>
            <w:r w:rsidRPr="00CE7895">
              <w:rPr>
                <w:rFonts w:ascii="Times New Roman" w:eastAsia="Times New Roman" w:hAnsi="Times New Roman" w:cs="Times New Roman"/>
                <w:sz w:val="18"/>
                <w:szCs w:val="18"/>
                <w:lang w:val="en-AU"/>
              </w:rPr>
              <w:t> </w:t>
            </w:r>
          </w:p>
        </w:tc>
        <w:tc>
          <w:tcPr>
            <w:tcW w:w="993" w:type="dxa"/>
            <w:gridSpan w:val="2"/>
            <w:tcBorders>
              <w:top w:val="nil"/>
              <w:left w:val="nil"/>
              <w:right w:val="nil"/>
            </w:tcBorders>
            <w:shd w:val="clear" w:color="auto" w:fill="auto"/>
            <w:noWrap/>
          </w:tcPr>
          <w:p w:rsidR="00CE7895" w:rsidRPr="00CE7895" w:rsidRDefault="00CE7895" w:rsidP="00CE7895">
            <w:pPr>
              <w:spacing w:after="0" w:line="240" w:lineRule="auto"/>
              <w:rPr>
                <w:rFonts w:ascii="Times New Roman" w:eastAsia="Times New Roman" w:hAnsi="Times New Roman" w:cs="Times New Roman"/>
                <w:i/>
                <w:iCs/>
                <w:sz w:val="18"/>
                <w:szCs w:val="18"/>
                <w:lang w:val="en-AU"/>
              </w:rPr>
            </w:pPr>
            <w:r w:rsidRPr="00CE7895">
              <w:rPr>
                <w:rFonts w:ascii="Times New Roman" w:eastAsia="Times New Roman" w:hAnsi="Times New Roman" w:cs="Times New Roman"/>
                <w:i/>
                <w:iCs/>
                <w:sz w:val="18"/>
                <w:szCs w:val="18"/>
                <w:lang w:val="en-AU"/>
              </w:rPr>
              <w:t> </w:t>
            </w: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2336" w:type="dxa"/>
            <w:gridSpan w:val="3"/>
            <w:vMerge w:val="restart"/>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center"/>
              <w:rPr>
                <w:rFonts w:eastAsia="Times New Roman" w:cs="Arial"/>
                <w:b/>
                <w:bCs/>
                <w:sz w:val="18"/>
                <w:szCs w:val="18"/>
                <w:lang w:val="en-AU"/>
              </w:rPr>
            </w:pPr>
            <w:r w:rsidRPr="003E2EFF">
              <w:rPr>
                <w:rFonts w:eastAsia="Times New Roman" w:cs="Arial"/>
                <w:b/>
                <w:bCs/>
                <w:sz w:val="18"/>
                <w:szCs w:val="18"/>
                <w:lang w:val="en-AU"/>
              </w:rPr>
              <w:t>Retained earnings</w:t>
            </w:r>
          </w:p>
        </w:tc>
        <w:tc>
          <w:tcPr>
            <w:tcW w:w="2336" w:type="dxa"/>
            <w:gridSpan w:val="3"/>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center"/>
              <w:rPr>
                <w:rFonts w:eastAsia="Times New Roman" w:cs="Arial"/>
                <w:b/>
                <w:bCs/>
                <w:sz w:val="18"/>
                <w:szCs w:val="18"/>
                <w:lang w:val="en-AU"/>
              </w:rPr>
            </w:pPr>
            <w:r w:rsidRPr="003E2EFF">
              <w:rPr>
                <w:rFonts w:eastAsia="Times New Roman" w:cs="Arial"/>
                <w:b/>
                <w:bCs/>
                <w:sz w:val="18"/>
                <w:szCs w:val="18"/>
                <w:lang w:val="en-AU"/>
              </w:rPr>
              <w:t>Asset revaluation</w:t>
            </w:r>
          </w:p>
        </w:tc>
        <w:tc>
          <w:tcPr>
            <w:tcW w:w="2336" w:type="dxa"/>
            <w:gridSpan w:val="3"/>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center"/>
              <w:rPr>
                <w:rFonts w:eastAsia="Times New Roman" w:cs="Arial"/>
                <w:b/>
                <w:bCs/>
                <w:sz w:val="18"/>
                <w:szCs w:val="18"/>
                <w:lang w:val="en-AU"/>
              </w:rPr>
            </w:pPr>
            <w:r w:rsidRPr="003E2EFF">
              <w:rPr>
                <w:rFonts w:eastAsia="Times New Roman" w:cs="Arial"/>
                <w:b/>
                <w:bCs/>
                <w:sz w:val="18"/>
                <w:szCs w:val="18"/>
                <w:lang w:val="en-AU"/>
              </w:rPr>
              <w:t>Contributed</w:t>
            </w:r>
          </w:p>
        </w:tc>
        <w:tc>
          <w:tcPr>
            <w:tcW w:w="2336" w:type="dxa"/>
            <w:gridSpan w:val="2"/>
            <w:vMerge w:val="restart"/>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center"/>
              <w:rPr>
                <w:rFonts w:eastAsia="Times New Roman" w:cs="Arial"/>
                <w:b/>
                <w:bCs/>
                <w:sz w:val="18"/>
                <w:szCs w:val="18"/>
                <w:lang w:val="en-AU"/>
              </w:rPr>
            </w:pPr>
            <w:r w:rsidRPr="003E2EFF">
              <w:rPr>
                <w:rFonts w:eastAsia="Times New Roman" w:cs="Arial"/>
                <w:b/>
                <w:bCs/>
                <w:sz w:val="18"/>
                <w:szCs w:val="18"/>
                <w:lang w:val="en-AU"/>
              </w:rPr>
              <w:t>Total equity</w:t>
            </w: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2336" w:type="dxa"/>
            <w:gridSpan w:val="3"/>
            <w:vMerge/>
            <w:tcBorders>
              <w:top w:val="nil"/>
              <w:left w:val="nil"/>
              <w:bottom w:val="nil"/>
              <w:right w:val="nil"/>
            </w:tcBorders>
            <w:vAlign w:val="center"/>
          </w:tcPr>
          <w:p w:rsidR="003E2EFF" w:rsidRPr="003E2EFF" w:rsidRDefault="003E2EFF" w:rsidP="003E2EFF">
            <w:pPr>
              <w:spacing w:after="0" w:line="240" w:lineRule="auto"/>
              <w:rPr>
                <w:rFonts w:eastAsia="Times New Roman" w:cs="Arial"/>
                <w:b/>
                <w:bCs/>
                <w:sz w:val="18"/>
                <w:szCs w:val="18"/>
                <w:lang w:val="en-AU"/>
              </w:rPr>
            </w:pPr>
          </w:p>
        </w:tc>
        <w:tc>
          <w:tcPr>
            <w:tcW w:w="2336" w:type="dxa"/>
            <w:gridSpan w:val="3"/>
            <w:tcBorders>
              <w:top w:val="nil"/>
              <w:left w:val="nil"/>
              <w:bottom w:val="nil"/>
              <w:right w:val="nil"/>
            </w:tcBorders>
            <w:shd w:val="clear" w:color="auto" w:fill="auto"/>
            <w:noWrap/>
            <w:vAlign w:val="bottom"/>
          </w:tcPr>
          <w:p w:rsidR="003E2EFF" w:rsidRPr="003E2EFF" w:rsidRDefault="003E2EFF" w:rsidP="003E2EFF">
            <w:pPr>
              <w:spacing w:after="0" w:line="240" w:lineRule="auto"/>
              <w:jc w:val="center"/>
              <w:rPr>
                <w:rFonts w:eastAsia="Times New Roman" w:cs="Arial"/>
                <w:b/>
                <w:bCs/>
                <w:sz w:val="18"/>
                <w:szCs w:val="18"/>
                <w:lang w:val="en-AU"/>
              </w:rPr>
            </w:pPr>
            <w:proofErr w:type="gramStart"/>
            <w:r w:rsidRPr="003E2EFF">
              <w:rPr>
                <w:rFonts w:eastAsia="Times New Roman" w:cs="Arial"/>
                <w:b/>
                <w:bCs/>
                <w:sz w:val="18"/>
                <w:szCs w:val="18"/>
                <w:lang w:val="en-AU"/>
              </w:rPr>
              <w:t>surplus</w:t>
            </w:r>
            <w:proofErr w:type="gramEnd"/>
          </w:p>
        </w:tc>
        <w:tc>
          <w:tcPr>
            <w:tcW w:w="2336" w:type="dxa"/>
            <w:gridSpan w:val="3"/>
            <w:tcBorders>
              <w:top w:val="nil"/>
              <w:left w:val="nil"/>
              <w:bottom w:val="nil"/>
              <w:right w:val="nil"/>
            </w:tcBorders>
            <w:shd w:val="clear" w:color="auto" w:fill="auto"/>
            <w:noWrap/>
            <w:vAlign w:val="bottom"/>
          </w:tcPr>
          <w:p w:rsidR="003E2EFF" w:rsidRPr="003E2EFF" w:rsidRDefault="003E2EFF" w:rsidP="003E2EFF">
            <w:pPr>
              <w:spacing w:after="0" w:line="240" w:lineRule="auto"/>
              <w:jc w:val="center"/>
              <w:rPr>
                <w:rFonts w:eastAsia="Times New Roman" w:cs="Arial"/>
                <w:b/>
                <w:bCs/>
                <w:sz w:val="18"/>
                <w:szCs w:val="18"/>
                <w:lang w:val="en-AU"/>
              </w:rPr>
            </w:pPr>
            <w:proofErr w:type="gramStart"/>
            <w:r w:rsidRPr="003E2EFF">
              <w:rPr>
                <w:rFonts w:eastAsia="Times New Roman" w:cs="Arial"/>
                <w:b/>
                <w:bCs/>
                <w:sz w:val="18"/>
                <w:szCs w:val="18"/>
                <w:lang w:val="en-AU"/>
              </w:rPr>
              <w:t>equity</w:t>
            </w:r>
            <w:proofErr w:type="gramEnd"/>
            <w:r w:rsidRPr="003E2EFF">
              <w:rPr>
                <w:rFonts w:eastAsia="Times New Roman" w:cs="Arial"/>
                <w:b/>
                <w:bCs/>
                <w:sz w:val="18"/>
                <w:szCs w:val="18"/>
                <w:lang w:val="en-AU"/>
              </w:rPr>
              <w:t>/capital</w:t>
            </w:r>
          </w:p>
        </w:tc>
        <w:tc>
          <w:tcPr>
            <w:tcW w:w="2336" w:type="dxa"/>
            <w:gridSpan w:val="2"/>
            <w:vMerge/>
            <w:tcBorders>
              <w:top w:val="single" w:sz="4" w:space="0" w:color="auto"/>
              <w:left w:val="nil"/>
              <w:bottom w:val="nil"/>
              <w:right w:val="nil"/>
            </w:tcBorders>
            <w:vAlign w:val="center"/>
          </w:tcPr>
          <w:p w:rsidR="003E2EFF" w:rsidRPr="003E2EFF" w:rsidRDefault="003E2EFF" w:rsidP="003E2EFF">
            <w:pPr>
              <w:spacing w:after="0" w:line="240" w:lineRule="auto"/>
              <w:rPr>
                <w:rFonts w:eastAsia="Times New Roman" w:cs="Arial"/>
                <w:b/>
                <w:bCs/>
                <w:sz w:val="18"/>
                <w:szCs w:val="18"/>
                <w:lang w:val="en-AU"/>
              </w:rPr>
            </w:pP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2014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2013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2014 </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2013 </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2014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2013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2014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2013 </w:t>
            </w:r>
          </w:p>
        </w:tc>
      </w:tr>
      <w:tr w:rsidR="003E2EFF" w:rsidRPr="003E2EFF">
        <w:trPr>
          <w:trHeight w:val="240"/>
        </w:trPr>
        <w:tc>
          <w:tcPr>
            <w:tcW w:w="6068" w:type="dxa"/>
            <w:tcBorders>
              <w:top w:val="nil"/>
              <w:left w:val="nil"/>
              <w:bottom w:val="single" w:sz="4" w:space="0" w:color="auto"/>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r w:rsidRPr="003E2EFF">
              <w:rPr>
                <w:rFonts w:eastAsia="Times New Roman" w:cs="Arial"/>
                <w:sz w:val="18"/>
                <w:szCs w:val="18"/>
                <w:lang w:val="en-AU"/>
              </w:rPr>
              <w:t> </w:t>
            </w:r>
          </w:p>
        </w:tc>
        <w:tc>
          <w:tcPr>
            <w:tcW w:w="1168" w:type="dxa"/>
            <w:gridSpan w:val="2"/>
            <w:tcBorders>
              <w:top w:val="nil"/>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w:t>
            </w:r>
          </w:p>
        </w:tc>
        <w:tc>
          <w:tcPr>
            <w:tcW w:w="1168" w:type="dxa"/>
            <w:tcBorders>
              <w:top w:val="nil"/>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w:t>
            </w:r>
          </w:p>
        </w:tc>
        <w:tc>
          <w:tcPr>
            <w:tcW w:w="1168" w:type="dxa"/>
            <w:tcBorders>
              <w:top w:val="nil"/>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w:t>
            </w:r>
          </w:p>
        </w:tc>
        <w:tc>
          <w:tcPr>
            <w:tcW w:w="1168" w:type="dxa"/>
            <w:gridSpan w:val="2"/>
            <w:tcBorders>
              <w:top w:val="nil"/>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w:t>
            </w:r>
          </w:p>
        </w:tc>
        <w:tc>
          <w:tcPr>
            <w:tcW w:w="1168" w:type="dxa"/>
            <w:gridSpan w:val="2"/>
            <w:tcBorders>
              <w:top w:val="nil"/>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w:t>
            </w:r>
          </w:p>
        </w:tc>
        <w:tc>
          <w:tcPr>
            <w:tcW w:w="1168" w:type="dxa"/>
            <w:tcBorders>
              <w:top w:val="nil"/>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w:t>
            </w:r>
          </w:p>
        </w:tc>
        <w:tc>
          <w:tcPr>
            <w:tcW w:w="1168" w:type="dxa"/>
            <w:tcBorders>
              <w:top w:val="nil"/>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w:t>
            </w:r>
          </w:p>
        </w:tc>
        <w:tc>
          <w:tcPr>
            <w:tcW w:w="1168" w:type="dxa"/>
            <w:tcBorders>
              <w:top w:val="nil"/>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w:t>
            </w: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r w:rsidRPr="003E2EFF">
              <w:rPr>
                <w:rFonts w:eastAsia="Times New Roman" w:cs="Arial"/>
                <w:b/>
                <w:bCs/>
                <w:sz w:val="18"/>
                <w:szCs w:val="18"/>
                <w:lang w:val="en-AU"/>
              </w:rPr>
              <w:t>Opening balance</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r w:rsidRPr="003E2EFF">
              <w:rPr>
                <w:rFonts w:eastAsia="Times New Roman" w:cs="Arial"/>
                <w:sz w:val="18"/>
                <w:szCs w:val="18"/>
                <w:lang w:val="en-AU"/>
              </w:rPr>
              <w:t>Balance carried forward from previous period</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bookmarkStart w:id="217" w:name="RANGE!D9"/>
            <w:r w:rsidRPr="003E2EFF">
              <w:rPr>
                <w:rFonts w:eastAsia="Times New Roman" w:cs="Arial"/>
                <w:b/>
                <w:bCs/>
                <w:sz w:val="18"/>
                <w:szCs w:val="18"/>
                <w:lang w:val="en-AU"/>
              </w:rPr>
              <w:t xml:space="preserve">4,174,710 </w:t>
            </w:r>
            <w:bookmarkEnd w:id="217"/>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bookmarkStart w:id="218" w:name="RANGE!E9"/>
            <w:r w:rsidRPr="003E2EFF">
              <w:rPr>
                <w:rFonts w:eastAsia="Times New Roman" w:cs="Arial"/>
                <w:sz w:val="18"/>
                <w:szCs w:val="18"/>
                <w:lang w:val="en-AU"/>
              </w:rPr>
              <w:t xml:space="preserve">2,753,004 </w:t>
            </w:r>
            <w:bookmarkEnd w:id="218"/>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bookmarkStart w:id="219" w:name="RANGE!F9"/>
            <w:r w:rsidRPr="003E2EFF">
              <w:rPr>
                <w:rFonts w:eastAsia="Times New Roman" w:cs="Arial"/>
                <w:b/>
                <w:bCs/>
                <w:sz w:val="18"/>
                <w:szCs w:val="18"/>
                <w:lang w:val="en-AU"/>
              </w:rPr>
              <w:t xml:space="preserve">477,671 </w:t>
            </w:r>
            <w:bookmarkEnd w:id="219"/>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bookmarkStart w:id="220" w:name="RANGE!G9"/>
            <w:r w:rsidRPr="003E2EFF">
              <w:rPr>
                <w:rFonts w:eastAsia="Times New Roman" w:cs="Arial"/>
                <w:sz w:val="18"/>
                <w:szCs w:val="18"/>
                <w:lang w:val="en-AU"/>
              </w:rPr>
              <w:t xml:space="preserve">477,671 </w:t>
            </w:r>
            <w:bookmarkEnd w:id="220"/>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bookmarkStart w:id="221" w:name="RANGE!H9"/>
            <w:r w:rsidRPr="003E2EFF">
              <w:rPr>
                <w:rFonts w:eastAsia="Times New Roman" w:cs="Arial"/>
                <w:b/>
                <w:bCs/>
                <w:sz w:val="18"/>
                <w:szCs w:val="18"/>
                <w:lang w:val="en-AU"/>
              </w:rPr>
              <w:t xml:space="preserve">1,485,000 </w:t>
            </w:r>
            <w:bookmarkEnd w:id="221"/>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bookmarkStart w:id="222" w:name="RANGE!I9"/>
            <w:r w:rsidRPr="003E2EFF">
              <w:rPr>
                <w:rFonts w:eastAsia="Times New Roman" w:cs="Arial"/>
                <w:sz w:val="18"/>
                <w:szCs w:val="18"/>
                <w:lang w:val="en-AU"/>
              </w:rPr>
              <w:t xml:space="preserve">1,453,000 </w:t>
            </w:r>
            <w:bookmarkEnd w:id="222"/>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bookmarkStart w:id="223" w:name="RANGE!J9"/>
            <w:r w:rsidRPr="003E2EFF">
              <w:rPr>
                <w:rFonts w:eastAsia="Times New Roman" w:cs="Arial"/>
                <w:b/>
                <w:bCs/>
                <w:sz w:val="18"/>
                <w:szCs w:val="18"/>
                <w:lang w:val="en-AU"/>
              </w:rPr>
              <w:t xml:space="preserve">6,137,381 </w:t>
            </w:r>
            <w:bookmarkEnd w:id="223"/>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4,683,675 </w:t>
            </w:r>
          </w:p>
        </w:tc>
      </w:tr>
      <w:tr w:rsidR="003E2EFF" w:rsidRPr="003E2EFF">
        <w:trPr>
          <w:trHeight w:val="220"/>
        </w:trPr>
        <w:tc>
          <w:tcPr>
            <w:tcW w:w="60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r w:rsidRPr="003E2EFF">
              <w:rPr>
                <w:rFonts w:eastAsia="Times New Roman" w:cs="Arial"/>
                <w:b/>
                <w:bCs/>
                <w:sz w:val="18"/>
                <w:szCs w:val="18"/>
                <w:lang w:val="en-AU"/>
              </w:rPr>
              <w:t>Adjusted opening balance</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4,174,710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2,753,004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477,671 </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477,671 </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1,485,000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1,453,000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6,137,381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4,683,675 </w:t>
            </w: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r w:rsidRPr="003E2EFF">
              <w:rPr>
                <w:rFonts w:eastAsia="Times New Roman" w:cs="Arial"/>
                <w:b/>
                <w:bCs/>
                <w:sz w:val="18"/>
                <w:szCs w:val="18"/>
                <w:lang w:val="en-AU"/>
              </w:rPr>
              <w:t>Comprehensive income</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r w:rsidRPr="003E2EFF">
              <w:rPr>
                <w:rFonts w:eastAsia="Times New Roman" w:cs="Arial"/>
                <w:sz w:val="18"/>
                <w:szCs w:val="18"/>
                <w:lang w:val="en-AU"/>
              </w:rPr>
              <w:t>Other comprehensive income</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19,883 </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19,883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r w:rsidRPr="003E2EFF">
              <w:rPr>
                <w:rFonts w:eastAsia="Times New Roman" w:cs="Arial"/>
                <w:sz w:val="18"/>
                <w:szCs w:val="18"/>
                <w:lang w:val="en-AU"/>
              </w:rPr>
              <w:t>Surplus (Deficit) for the period</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945,437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1,421,706 </w:t>
            </w:r>
          </w:p>
        </w:tc>
        <w:tc>
          <w:tcPr>
            <w:tcW w:w="1168" w:type="dxa"/>
            <w:tcBorders>
              <w:top w:val="nil"/>
              <w:left w:val="nil"/>
              <w:bottom w:val="single" w:sz="4" w:space="0" w:color="auto"/>
              <w:right w:val="nil"/>
            </w:tcBorders>
            <w:shd w:val="thinDiagCross" w:color="auto" w:fill="C0C0C0"/>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w:t>
            </w:r>
          </w:p>
        </w:tc>
        <w:tc>
          <w:tcPr>
            <w:tcW w:w="1168" w:type="dxa"/>
            <w:gridSpan w:val="2"/>
            <w:tcBorders>
              <w:top w:val="nil"/>
              <w:left w:val="nil"/>
              <w:bottom w:val="single" w:sz="4" w:space="0" w:color="auto"/>
              <w:right w:val="nil"/>
            </w:tcBorders>
            <w:shd w:val="thinDiagCross" w:color="auto" w:fill="C0C0C0"/>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w:t>
            </w:r>
          </w:p>
        </w:tc>
        <w:tc>
          <w:tcPr>
            <w:tcW w:w="1168" w:type="dxa"/>
            <w:gridSpan w:val="2"/>
            <w:tcBorders>
              <w:top w:val="nil"/>
              <w:left w:val="nil"/>
              <w:bottom w:val="single" w:sz="4" w:space="0" w:color="auto"/>
              <w:right w:val="nil"/>
            </w:tcBorders>
            <w:shd w:val="thinDiagCross" w:color="auto" w:fill="C0C0C0"/>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w:t>
            </w:r>
          </w:p>
        </w:tc>
        <w:tc>
          <w:tcPr>
            <w:tcW w:w="1168" w:type="dxa"/>
            <w:tcBorders>
              <w:top w:val="nil"/>
              <w:left w:val="nil"/>
              <w:bottom w:val="single" w:sz="4" w:space="0" w:color="auto"/>
              <w:right w:val="nil"/>
            </w:tcBorders>
            <w:shd w:val="thinDiagCross" w:color="auto" w:fill="C0C0C0"/>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945,437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1,421,706 </w:t>
            </w:r>
          </w:p>
        </w:tc>
      </w:tr>
      <w:tr w:rsidR="003E2EFF" w:rsidRPr="003E2EFF">
        <w:trPr>
          <w:trHeight w:val="240"/>
        </w:trPr>
        <w:tc>
          <w:tcPr>
            <w:tcW w:w="60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r w:rsidRPr="003E2EFF">
              <w:rPr>
                <w:rFonts w:eastAsia="Times New Roman" w:cs="Arial"/>
                <w:b/>
                <w:bCs/>
                <w:sz w:val="18"/>
                <w:szCs w:val="18"/>
                <w:lang w:val="en-AU"/>
              </w:rPr>
              <w:t>Total comprehensive income</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945,437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1,421,706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19,883 </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965,320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1,421,706 </w:t>
            </w: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roofErr w:type="gramStart"/>
            <w:r w:rsidRPr="003E2EFF">
              <w:rPr>
                <w:rFonts w:eastAsia="Times New Roman" w:cs="Arial"/>
                <w:sz w:val="18"/>
                <w:szCs w:val="18"/>
                <w:lang w:val="en-AU"/>
              </w:rPr>
              <w:t>of</w:t>
            </w:r>
            <w:proofErr w:type="gramEnd"/>
            <w:r w:rsidRPr="003E2EFF">
              <w:rPr>
                <w:rFonts w:eastAsia="Times New Roman" w:cs="Arial"/>
                <w:sz w:val="18"/>
                <w:szCs w:val="18"/>
                <w:lang w:val="en-AU"/>
              </w:rPr>
              <w:t xml:space="preserve"> which:</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9F7D0F">
            <w:pPr>
              <w:spacing w:after="0" w:line="240" w:lineRule="auto"/>
              <w:ind w:firstLineChars="100" w:firstLine="140"/>
              <w:rPr>
                <w:rFonts w:eastAsia="Times New Roman" w:cs="Arial"/>
                <w:sz w:val="18"/>
                <w:szCs w:val="18"/>
                <w:lang w:val="en-AU"/>
              </w:rPr>
            </w:pPr>
            <w:r w:rsidRPr="003E2EFF">
              <w:rPr>
                <w:rFonts w:eastAsia="Times New Roman" w:cs="Arial"/>
                <w:sz w:val="18"/>
                <w:szCs w:val="18"/>
                <w:lang w:val="en-AU"/>
              </w:rPr>
              <w:t xml:space="preserve">   Attributable to the Australian Government</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945,437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1,421,706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945,437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1,421,706 </w:t>
            </w:r>
          </w:p>
        </w:tc>
      </w:tr>
      <w:tr w:rsidR="003E2EFF" w:rsidRPr="003E2EFF">
        <w:trPr>
          <w:trHeight w:val="240"/>
        </w:trPr>
        <w:tc>
          <w:tcPr>
            <w:tcW w:w="6068" w:type="dxa"/>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r w:rsidRPr="003E2EFF">
              <w:rPr>
                <w:rFonts w:eastAsia="Times New Roman" w:cs="Arial"/>
                <w:sz w:val="18"/>
                <w:szCs w:val="18"/>
                <w:lang w:val="en-AU"/>
              </w:rPr>
              <w:t> </w:t>
            </w:r>
          </w:p>
        </w:tc>
        <w:tc>
          <w:tcPr>
            <w:tcW w:w="1168" w:type="dxa"/>
            <w:gridSpan w:val="2"/>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w:t>
            </w:r>
          </w:p>
        </w:tc>
        <w:tc>
          <w:tcPr>
            <w:tcW w:w="1168" w:type="dxa"/>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w:t>
            </w:r>
          </w:p>
        </w:tc>
        <w:tc>
          <w:tcPr>
            <w:tcW w:w="1168" w:type="dxa"/>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w:t>
            </w:r>
          </w:p>
        </w:tc>
        <w:tc>
          <w:tcPr>
            <w:tcW w:w="1168" w:type="dxa"/>
            <w:gridSpan w:val="2"/>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w:t>
            </w:r>
          </w:p>
        </w:tc>
        <w:tc>
          <w:tcPr>
            <w:tcW w:w="1168" w:type="dxa"/>
            <w:gridSpan w:val="2"/>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w:t>
            </w:r>
          </w:p>
        </w:tc>
        <w:tc>
          <w:tcPr>
            <w:tcW w:w="1168" w:type="dxa"/>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w:t>
            </w:r>
          </w:p>
        </w:tc>
        <w:tc>
          <w:tcPr>
            <w:tcW w:w="1168" w:type="dxa"/>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w:t>
            </w:r>
          </w:p>
        </w:tc>
        <w:tc>
          <w:tcPr>
            <w:tcW w:w="1168" w:type="dxa"/>
            <w:tcBorders>
              <w:top w:val="single" w:sz="4" w:space="0" w:color="auto"/>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w:t>
            </w: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r w:rsidRPr="003E2EFF">
              <w:rPr>
                <w:rFonts w:eastAsia="Times New Roman" w:cs="Arial"/>
                <w:b/>
                <w:bCs/>
                <w:sz w:val="18"/>
                <w:szCs w:val="18"/>
                <w:lang w:val="en-AU"/>
              </w:rPr>
              <w:t>Transactions with owners</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r w:rsidRPr="003E2EFF">
              <w:rPr>
                <w:rFonts w:eastAsia="Times New Roman" w:cs="Arial"/>
                <w:b/>
                <w:bCs/>
                <w:sz w:val="18"/>
                <w:szCs w:val="18"/>
                <w:lang w:val="en-AU"/>
              </w:rPr>
              <w:t>Contributions by owners</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r w:rsidRPr="003E2EFF">
              <w:rPr>
                <w:rFonts w:eastAsia="Times New Roman" w:cs="Arial"/>
                <w:sz w:val="18"/>
                <w:szCs w:val="18"/>
                <w:lang w:val="en-AU"/>
              </w:rPr>
              <w:t>Departmental capital budget</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455,000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32,000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455,000 </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32,000 </w:t>
            </w:r>
          </w:p>
        </w:tc>
      </w:tr>
      <w:tr w:rsidR="003E2EFF" w:rsidRPr="003E2EFF">
        <w:trPr>
          <w:trHeight w:val="240"/>
        </w:trPr>
        <w:tc>
          <w:tcPr>
            <w:tcW w:w="60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r w:rsidRPr="003E2EFF">
              <w:rPr>
                <w:rFonts w:eastAsia="Times New Roman" w:cs="Arial"/>
                <w:b/>
                <w:bCs/>
                <w:sz w:val="18"/>
                <w:szCs w:val="18"/>
                <w:lang w:val="en-AU"/>
              </w:rPr>
              <w:t>Sub-total transactions with owners</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 -</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 -</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455,000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32,000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455,000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32,000 </w:t>
            </w:r>
          </w:p>
        </w:tc>
      </w:tr>
      <w:tr w:rsidR="003E2EFF" w:rsidRPr="003E2EFF">
        <w:trPr>
          <w:trHeight w:val="240"/>
        </w:trPr>
        <w:tc>
          <w:tcPr>
            <w:tcW w:w="60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r w:rsidRPr="003E2EFF">
              <w:rPr>
                <w:rFonts w:eastAsia="Times New Roman" w:cs="Arial"/>
                <w:b/>
                <w:bCs/>
                <w:sz w:val="18"/>
                <w:szCs w:val="18"/>
                <w:lang w:val="en-AU"/>
              </w:rPr>
              <w:t>Closing balance as at 30 June</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bookmarkStart w:id="224" w:name="RANGE!D23"/>
            <w:r w:rsidRPr="003E2EFF">
              <w:rPr>
                <w:rFonts w:eastAsia="Times New Roman" w:cs="Arial"/>
                <w:b/>
                <w:bCs/>
                <w:sz w:val="18"/>
                <w:szCs w:val="18"/>
                <w:lang w:val="en-AU"/>
              </w:rPr>
              <w:t xml:space="preserve">5,120,147 </w:t>
            </w:r>
            <w:bookmarkEnd w:id="224"/>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bookmarkStart w:id="225" w:name="RANGE!E23"/>
            <w:r w:rsidRPr="003E2EFF">
              <w:rPr>
                <w:rFonts w:eastAsia="Times New Roman" w:cs="Arial"/>
                <w:sz w:val="18"/>
                <w:szCs w:val="18"/>
                <w:lang w:val="en-AU"/>
              </w:rPr>
              <w:t xml:space="preserve">4,174,710 </w:t>
            </w:r>
            <w:bookmarkEnd w:id="225"/>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bookmarkStart w:id="226" w:name="RANGE!F23"/>
            <w:r w:rsidRPr="003E2EFF">
              <w:rPr>
                <w:rFonts w:eastAsia="Times New Roman" w:cs="Arial"/>
                <w:b/>
                <w:bCs/>
                <w:sz w:val="18"/>
                <w:szCs w:val="18"/>
                <w:lang w:val="en-AU"/>
              </w:rPr>
              <w:t xml:space="preserve">497,554 </w:t>
            </w:r>
            <w:bookmarkEnd w:id="226"/>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bookmarkStart w:id="227" w:name="RANGE!G23"/>
            <w:r w:rsidRPr="003E2EFF">
              <w:rPr>
                <w:rFonts w:eastAsia="Times New Roman" w:cs="Arial"/>
                <w:sz w:val="18"/>
                <w:szCs w:val="18"/>
                <w:lang w:val="en-AU"/>
              </w:rPr>
              <w:t xml:space="preserve">477,671 </w:t>
            </w:r>
            <w:bookmarkEnd w:id="227"/>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bookmarkStart w:id="228" w:name="RANGE!H23"/>
            <w:r w:rsidRPr="003E2EFF">
              <w:rPr>
                <w:rFonts w:eastAsia="Times New Roman" w:cs="Arial"/>
                <w:b/>
                <w:bCs/>
                <w:sz w:val="18"/>
                <w:szCs w:val="18"/>
                <w:lang w:val="en-AU"/>
              </w:rPr>
              <w:t xml:space="preserve">1,940,000 </w:t>
            </w:r>
            <w:bookmarkEnd w:id="228"/>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bookmarkStart w:id="229" w:name="RANGE!I23"/>
            <w:r w:rsidRPr="003E2EFF">
              <w:rPr>
                <w:rFonts w:eastAsia="Times New Roman" w:cs="Arial"/>
                <w:sz w:val="18"/>
                <w:szCs w:val="18"/>
                <w:lang w:val="en-AU"/>
              </w:rPr>
              <w:t xml:space="preserve">1,485,000 </w:t>
            </w:r>
            <w:bookmarkEnd w:id="229"/>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bookmarkStart w:id="230" w:name="RANGE!J23"/>
            <w:r w:rsidRPr="003E2EFF">
              <w:rPr>
                <w:rFonts w:eastAsia="Times New Roman" w:cs="Arial"/>
                <w:b/>
                <w:bCs/>
                <w:sz w:val="18"/>
                <w:szCs w:val="18"/>
                <w:lang w:val="en-AU"/>
              </w:rPr>
              <w:t xml:space="preserve">7,557,701 </w:t>
            </w:r>
            <w:bookmarkEnd w:id="230"/>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bookmarkStart w:id="231" w:name="RANGE!K23"/>
            <w:r w:rsidRPr="003E2EFF">
              <w:rPr>
                <w:rFonts w:eastAsia="Times New Roman" w:cs="Arial"/>
                <w:sz w:val="18"/>
                <w:szCs w:val="18"/>
                <w:lang w:val="en-AU"/>
              </w:rPr>
              <w:t xml:space="preserve">6,137,381 </w:t>
            </w:r>
            <w:bookmarkEnd w:id="231"/>
          </w:p>
        </w:tc>
      </w:tr>
      <w:tr w:rsidR="003E2EFF" w:rsidRPr="003E2EFF">
        <w:trPr>
          <w:trHeight w:val="240"/>
        </w:trPr>
        <w:tc>
          <w:tcPr>
            <w:tcW w:w="60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r w:rsidRPr="003E2EFF">
              <w:rPr>
                <w:rFonts w:eastAsia="Times New Roman" w:cs="Arial"/>
                <w:b/>
                <w:bCs/>
                <w:sz w:val="18"/>
                <w:szCs w:val="18"/>
                <w:lang w:val="en-AU"/>
              </w:rPr>
              <w:t>Closing balance attributable to the Australian Government</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5,120,147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4,174,710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497,554 </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477,671 </w:t>
            </w:r>
          </w:p>
        </w:tc>
        <w:tc>
          <w:tcPr>
            <w:tcW w:w="1168" w:type="dxa"/>
            <w:gridSpan w:val="2"/>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1,940,000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1,485,000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r w:rsidRPr="003E2EFF">
              <w:rPr>
                <w:rFonts w:eastAsia="Times New Roman" w:cs="Arial"/>
                <w:b/>
                <w:bCs/>
                <w:sz w:val="18"/>
                <w:szCs w:val="18"/>
                <w:lang w:val="en-AU"/>
              </w:rPr>
              <w:t xml:space="preserve">7,557,701 </w:t>
            </w:r>
          </w:p>
        </w:tc>
        <w:tc>
          <w:tcPr>
            <w:tcW w:w="1168" w:type="dxa"/>
            <w:tcBorders>
              <w:top w:val="single" w:sz="4" w:space="0" w:color="auto"/>
              <w:left w:val="nil"/>
              <w:bottom w:val="single" w:sz="4" w:space="0" w:color="auto"/>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r w:rsidRPr="003E2EFF">
              <w:rPr>
                <w:rFonts w:eastAsia="Times New Roman" w:cs="Arial"/>
                <w:sz w:val="18"/>
                <w:szCs w:val="18"/>
                <w:lang w:val="en-AU"/>
              </w:rPr>
              <w:t xml:space="preserve">6,137,381 </w:t>
            </w:r>
          </w:p>
        </w:tc>
      </w:tr>
      <w:tr w:rsidR="003E2EFF" w:rsidRPr="003E2EFF">
        <w:trPr>
          <w:trHeight w:val="24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b/>
                <w:bCs/>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jc w:val="right"/>
              <w:rPr>
                <w:rFonts w:eastAsia="Times New Roman" w:cs="Arial"/>
                <w:sz w:val="18"/>
                <w:szCs w:val="18"/>
                <w:lang w:val="en-AU"/>
              </w:rPr>
            </w:pPr>
          </w:p>
        </w:tc>
      </w:tr>
      <w:tr w:rsidR="003E2EFF" w:rsidRPr="003E2EFF">
        <w:trPr>
          <w:trHeight w:val="240"/>
        </w:trPr>
        <w:tc>
          <w:tcPr>
            <w:tcW w:w="7236" w:type="dxa"/>
            <w:gridSpan w:val="3"/>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r w:rsidRPr="003E2EFF">
              <w:rPr>
                <w:rFonts w:eastAsia="Times New Roman" w:cs="Arial"/>
                <w:sz w:val="18"/>
                <w:szCs w:val="18"/>
                <w:lang w:val="en-AU"/>
              </w:rPr>
              <w:t>The above statement should be read in conjunction with the accompanying notes.</w:t>
            </w: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r>
      <w:tr w:rsidR="003E2EFF" w:rsidRPr="003E2EFF">
        <w:trPr>
          <w:trHeight w:val="220"/>
        </w:trPr>
        <w:tc>
          <w:tcPr>
            <w:tcW w:w="60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gridSpan w:val="2"/>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3E2EFF" w:rsidRPr="003E2EFF" w:rsidRDefault="003E2EFF" w:rsidP="003E2EFF">
            <w:pPr>
              <w:spacing w:after="0" w:line="240" w:lineRule="auto"/>
              <w:rPr>
                <w:rFonts w:eastAsia="Times New Roman" w:cs="Arial"/>
                <w:sz w:val="18"/>
                <w:szCs w:val="18"/>
                <w:lang w:val="en-AU"/>
              </w:rPr>
            </w:pPr>
          </w:p>
        </w:tc>
      </w:tr>
    </w:tbl>
    <w:p w:rsidR="003E2EFF" w:rsidRDefault="003E2EFF" w:rsidP="00CE7895">
      <w:pPr>
        <w:sectPr w:rsidR="003E2EFF" w:rsidSect="001E2C73">
          <w:pgSz w:w="16838" w:h="11906" w:orient="landscape"/>
          <w:pgMar w:top="720" w:right="567" w:bottom="720" w:left="567" w:footer="284" w:gutter="0"/>
          <w:noEndnote/>
        </w:sectPr>
      </w:pPr>
    </w:p>
    <w:p w:rsidR="00F57422" w:rsidRDefault="00F57422" w:rsidP="00CE7895"/>
    <w:tbl>
      <w:tblPr>
        <w:tblW w:w="8556" w:type="dxa"/>
        <w:tblInd w:w="108" w:type="dxa"/>
        <w:tblLook w:val="04A0"/>
      </w:tblPr>
      <w:tblGrid>
        <w:gridCol w:w="5802"/>
        <w:gridCol w:w="646"/>
        <w:gridCol w:w="936"/>
        <w:gridCol w:w="236"/>
        <w:gridCol w:w="936"/>
      </w:tblGrid>
      <w:tr w:rsidR="00F57422" w:rsidRPr="00F57422">
        <w:trPr>
          <w:trHeight w:val="220"/>
        </w:trPr>
        <w:tc>
          <w:tcPr>
            <w:tcW w:w="8556" w:type="dxa"/>
            <w:gridSpan w:val="5"/>
            <w:tcBorders>
              <w:top w:val="nil"/>
              <w:left w:val="nil"/>
              <w:right w:val="nil"/>
            </w:tcBorders>
            <w:shd w:val="clear" w:color="auto" w:fill="auto"/>
            <w:noWrap/>
            <w:vAlign w:val="bottom"/>
          </w:tcPr>
          <w:p w:rsidR="00F57422" w:rsidRPr="00F57422" w:rsidRDefault="00F57422" w:rsidP="003E2EFF">
            <w:pPr>
              <w:pStyle w:val="Financialsnotehead"/>
            </w:pPr>
            <w:r w:rsidRPr="00F57422">
              <w:t xml:space="preserve">CASH FLOW STATEMENT </w:t>
            </w:r>
          </w:p>
        </w:tc>
      </w:tr>
      <w:tr w:rsidR="00F57422" w:rsidRPr="00F57422">
        <w:trPr>
          <w:trHeight w:val="240"/>
        </w:trPr>
        <w:tc>
          <w:tcPr>
            <w:tcW w:w="8556" w:type="dxa"/>
            <w:gridSpan w:val="5"/>
            <w:tcBorders>
              <w:top w:val="nil"/>
              <w:left w:val="nil"/>
              <w:bottom w:val="single" w:sz="4" w:space="0" w:color="auto"/>
              <w:right w:val="nil"/>
            </w:tcBorders>
            <w:shd w:val="clear" w:color="auto" w:fill="auto"/>
            <w:noWrap/>
            <w:vAlign w:val="bottom"/>
          </w:tcPr>
          <w:p w:rsidR="00F57422" w:rsidRPr="00F57422" w:rsidRDefault="00F57422" w:rsidP="003E2EFF">
            <w:pPr>
              <w:rPr>
                <w:lang w:val="en-AU"/>
              </w:rPr>
            </w:pPr>
            <w:proofErr w:type="gramStart"/>
            <w:r w:rsidRPr="00F57422">
              <w:rPr>
                <w:lang w:val="en-AU"/>
              </w:rPr>
              <w:t>for</w:t>
            </w:r>
            <w:proofErr w:type="gramEnd"/>
            <w:r w:rsidRPr="00F57422">
              <w:rPr>
                <w:lang w:val="en-AU"/>
              </w:rPr>
              <w:t xml:space="preserve"> the period ended 30 June 2014</w:t>
            </w:r>
          </w:p>
        </w:tc>
      </w:tr>
      <w:tr w:rsidR="00F57422" w:rsidRPr="00F57422">
        <w:trPr>
          <w:trHeight w:val="220"/>
        </w:trPr>
        <w:tc>
          <w:tcPr>
            <w:tcW w:w="6140"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554"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8"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554" w:type="dxa"/>
            <w:tcBorders>
              <w:top w:val="nil"/>
              <w:left w:val="nil"/>
              <w:right w:val="nil"/>
            </w:tcBorders>
            <w:shd w:val="clear" w:color="auto" w:fill="auto"/>
            <w:noWrap/>
            <w:vAlign w:val="bottom"/>
          </w:tcPr>
          <w:p w:rsidR="00F57422" w:rsidRPr="00F57422" w:rsidRDefault="00F57422" w:rsidP="00F57422">
            <w:pPr>
              <w:spacing w:after="0" w:line="240" w:lineRule="auto"/>
              <w:jc w:val="center"/>
              <w:rPr>
                <w:rFonts w:ascii="Times New Roman" w:eastAsia="Times New Roman" w:hAnsi="Times New Roman" w:cs="Times New Roman"/>
                <w:b/>
                <w:bCs/>
                <w:sz w:val="18"/>
                <w:szCs w:val="18"/>
                <w:lang w:val="en-AU"/>
              </w:rPr>
            </w:pPr>
          </w:p>
        </w:tc>
        <w:tc>
          <w:tcPr>
            <w:tcW w:w="927" w:type="dxa"/>
            <w:tcBorders>
              <w:top w:val="nil"/>
              <w:left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2014 </w:t>
            </w:r>
          </w:p>
        </w:tc>
        <w:tc>
          <w:tcPr>
            <w:tcW w:w="8" w:type="dxa"/>
            <w:tcBorders>
              <w:top w:val="nil"/>
              <w:left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927" w:type="dxa"/>
            <w:tcBorders>
              <w:top w:val="nil"/>
              <w:left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2013 </w:t>
            </w:r>
          </w:p>
        </w:tc>
      </w:tr>
      <w:tr w:rsidR="00F57422" w:rsidRPr="00F57422">
        <w:trPr>
          <w:trHeight w:val="220"/>
        </w:trPr>
        <w:tc>
          <w:tcPr>
            <w:tcW w:w="6140"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554"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center"/>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Notes</w:t>
            </w:r>
          </w:p>
        </w:tc>
        <w:tc>
          <w:tcPr>
            <w:tcW w:w="927"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w:t>
            </w:r>
          </w:p>
        </w:tc>
        <w:tc>
          <w:tcPr>
            <w:tcW w:w="8"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927"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w:t>
            </w:r>
          </w:p>
        </w:tc>
      </w:tr>
      <w:tr w:rsidR="00F57422" w:rsidRPr="00F57422">
        <w:trPr>
          <w:trHeight w:val="220"/>
        </w:trPr>
        <w:tc>
          <w:tcPr>
            <w:tcW w:w="6140"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554"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927"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OPERATING ACTIVITIES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Cash received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Appropriations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4,585,479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4,918,195 </w:t>
            </w:r>
          </w:p>
        </w:tc>
      </w:tr>
      <w:tr w:rsidR="00F57422" w:rsidRPr="00F57422">
        <w:trPr>
          <w:trHeight w:val="24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Sales of goods and rendering of services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27,758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22,454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Net GST received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165,185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167,856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cash received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4,778,422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5,108,505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Cash used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4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Employees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2,223,511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2,984,958 </w:t>
            </w:r>
          </w:p>
        </w:tc>
      </w:tr>
      <w:tr w:rsidR="00F57422" w:rsidRPr="00F57422">
        <w:trPr>
          <w:trHeight w:val="24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Suppliers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2,563,964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1,915,755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cash used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center"/>
              <w:rPr>
                <w:rFonts w:ascii="Times New Roman" w:eastAsia="Times New Roman" w:hAnsi="Times New Roman" w:cs="Times New Roman"/>
                <w:b/>
                <w:bCs/>
                <w:color w:val="0000D4"/>
                <w:sz w:val="18"/>
                <w:szCs w:val="18"/>
                <w:u w:val="single"/>
                <w:lang w:val="en-AU"/>
              </w:rPr>
            </w:pPr>
          </w:p>
        </w:tc>
        <w:tc>
          <w:tcPr>
            <w:tcW w:w="927"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4,787,475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4,900,713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Net cash from (used by) operating activities</w:t>
            </w:r>
          </w:p>
        </w:tc>
        <w:tc>
          <w:tcPr>
            <w:tcW w:w="554" w:type="dxa"/>
            <w:tcBorders>
              <w:top w:val="nil"/>
              <w:left w:val="nil"/>
              <w:bottom w:val="nil"/>
              <w:right w:val="nil"/>
            </w:tcBorders>
            <w:shd w:val="clear" w:color="auto" w:fill="auto"/>
            <w:noWrap/>
            <w:vAlign w:val="bottom"/>
          </w:tcPr>
          <w:p w:rsidR="00F57422" w:rsidRPr="00F57422" w:rsidRDefault="00FC6B5C" w:rsidP="00F57422">
            <w:pPr>
              <w:spacing w:after="0" w:line="240" w:lineRule="auto"/>
              <w:jc w:val="center"/>
              <w:rPr>
                <w:rFonts w:ascii="Times New Roman" w:eastAsia="Times New Roman" w:hAnsi="Times New Roman" w:cs="Times New Roman"/>
                <w:color w:val="0000D4"/>
                <w:sz w:val="18"/>
                <w:szCs w:val="18"/>
                <w:u w:val="single"/>
                <w:lang w:val="en-AU"/>
              </w:rPr>
            </w:pPr>
            <w:hyperlink w:anchor="RANGE!A1" w:history="1">
              <w:r w:rsidR="00F57422" w:rsidRPr="00F57422">
                <w:rPr>
                  <w:rFonts w:ascii="Times New Roman" w:eastAsia="Times New Roman" w:hAnsi="Times New Roman" w:cs="Times New Roman"/>
                  <w:color w:val="0000D4"/>
                  <w:sz w:val="18"/>
                  <w:szCs w:val="18"/>
                  <w:u w:val="single"/>
                  <w:lang w:val="en-AU"/>
                </w:rPr>
                <w:t xml:space="preserve"> 10 </w:t>
              </w:r>
            </w:hyperlink>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bookmarkStart w:id="232" w:name="RANGE!E21"/>
            <w:r w:rsidRPr="00F57422">
              <w:rPr>
                <w:rFonts w:ascii="Times New Roman" w:eastAsia="Times New Roman" w:hAnsi="Times New Roman" w:cs="Times New Roman"/>
                <w:b/>
                <w:bCs/>
                <w:sz w:val="18"/>
                <w:szCs w:val="18"/>
                <w:lang w:val="en-AU"/>
              </w:rPr>
              <w:t>(9,053)</w:t>
            </w:r>
            <w:bookmarkEnd w:id="232"/>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bookmarkStart w:id="233" w:name="RANGE!G21"/>
            <w:r w:rsidRPr="00F57422">
              <w:rPr>
                <w:rFonts w:ascii="Times New Roman" w:eastAsia="Times New Roman" w:hAnsi="Times New Roman" w:cs="Times New Roman"/>
                <w:sz w:val="18"/>
                <w:szCs w:val="18"/>
                <w:lang w:val="en-AU"/>
              </w:rPr>
              <w:t xml:space="preserve">207,792 </w:t>
            </w:r>
            <w:bookmarkEnd w:id="233"/>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center"/>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INVESTING ACTIVITIES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Cash used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4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Purchase of property, plant and equipment</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75,819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313,015 </w:t>
            </w:r>
          </w:p>
        </w:tc>
      </w:tr>
      <w:tr w:rsidR="00F57422" w:rsidRPr="00F57422">
        <w:trPr>
          <w:trHeight w:val="24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Purchase of intangibles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27,989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26,029 </w:t>
            </w:r>
          </w:p>
        </w:tc>
      </w:tr>
      <w:tr w:rsidR="00F57422" w:rsidRPr="00F57422">
        <w:trPr>
          <w:trHeight w:val="24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Other</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center"/>
              <w:rPr>
                <w:rFonts w:ascii="Times New Roman" w:eastAsia="Times New Roman" w:hAnsi="Times New Roman" w:cs="Times New Roman"/>
                <w:color w:val="0000D4"/>
                <w:sz w:val="18"/>
                <w:szCs w:val="18"/>
                <w:u w:val="single"/>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211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cash used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center"/>
              <w:rPr>
                <w:rFonts w:ascii="Times New Roman" w:eastAsia="Times New Roman" w:hAnsi="Times New Roman" w:cs="Times New Roman"/>
                <w:color w:val="0000D4"/>
                <w:sz w:val="18"/>
                <w:szCs w:val="18"/>
                <w:u w:val="single"/>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103,808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339,255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Net cash (used by) investing activities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(103,808)</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(339,255)</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FINANCING ACTIVITIES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Cash received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Contributed equity - Departmental capital budget</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95,560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147,865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cash received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95,560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147,865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Net cash from financing activities</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95,560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147,865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Net increase (decrease) in cash held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(17,301)</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16,402 </w:t>
            </w:r>
          </w:p>
        </w:tc>
      </w:tr>
      <w:tr w:rsidR="00F57422" w:rsidRPr="00F57422">
        <w:trPr>
          <w:trHeight w:val="24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Cash and cash equivalents at the beginning of the reporting period</w:t>
            </w:r>
          </w:p>
        </w:tc>
        <w:tc>
          <w:tcPr>
            <w:tcW w:w="554"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96,226 </w:t>
            </w:r>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79,824 </w:t>
            </w:r>
          </w:p>
        </w:tc>
      </w:tr>
      <w:tr w:rsidR="00F57422" w:rsidRPr="00F57422">
        <w:trPr>
          <w:trHeight w:val="220"/>
        </w:trPr>
        <w:tc>
          <w:tcPr>
            <w:tcW w:w="6140"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Cash and cash equivalents at the end of the reporting period</w:t>
            </w:r>
          </w:p>
        </w:tc>
        <w:tc>
          <w:tcPr>
            <w:tcW w:w="554" w:type="dxa"/>
            <w:tcBorders>
              <w:top w:val="nil"/>
              <w:left w:val="nil"/>
              <w:bottom w:val="nil"/>
              <w:right w:val="nil"/>
            </w:tcBorders>
            <w:shd w:val="clear" w:color="auto" w:fill="auto"/>
            <w:noWrap/>
            <w:vAlign w:val="bottom"/>
          </w:tcPr>
          <w:p w:rsidR="00F57422" w:rsidRPr="00F57422" w:rsidRDefault="00FC6B5C" w:rsidP="00F57422">
            <w:pPr>
              <w:spacing w:after="0" w:line="240" w:lineRule="auto"/>
              <w:jc w:val="center"/>
              <w:rPr>
                <w:rFonts w:ascii="Times New Roman" w:eastAsia="Times New Roman" w:hAnsi="Times New Roman" w:cs="Times New Roman"/>
                <w:color w:val="0000D4"/>
                <w:sz w:val="18"/>
                <w:szCs w:val="18"/>
                <w:u w:val="single"/>
                <w:lang w:val="en-AU"/>
              </w:rPr>
            </w:pPr>
            <w:hyperlink w:anchor="RANGE!A1" w:history="1">
              <w:r w:rsidR="00F57422" w:rsidRPr="00F57422">
                <w:rPr>
                  <w:rFonts w:ascii="Times New Roman" w:eastAsia="Times New Roman" w:hAnsi="Times New Roman" w:cs="Times New Roman"/>
                  <w:color w:val="0000D4"/>
                  <w:sz w:val="18"/>
                  <w:szCs w:val="18"/>
                  <w:u w:val="single"/>
                  <w:lang w:val="en-AU"/>
                </w:rPr>
                <w:t>6A</w:t>
              </w:r>
            </w:hyperlink>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bookmarkStart w:id="234" w:name="RANGE!E44"/>
            <w:r w:rsidRPr="00F57422">
              <w:rPr>
                <w:rFonts w:ascii="Times New Roman" w:eastAsia="Times New Roman" w:hAnsi="Times New Roman" w:cs="Times New Roman"/>
                <w:b/>
                <w:bCs/>
                <w:sz w:val="18"/>
                <w:szCs w:val="18"/>
                <w:lang w:val="en-AU"/>
              </w:rPr>
              <w:t xml:space="preserve">78,925 </w:t>
            </w:r>
            <w:bookmarkEnd w:id="234"/>
          </w:p>
        </w:tc>
        <w:tc>
          <w:tcPr>
            <w:tcW w:w="8"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bookmarkStart w:id="235" w:name="RANGE!G44"/>
            <w:r w:rsidRPr="00F57422">
              <w:rPr>
                <w:rFonts w:ascii="Times New Roman" w:eastAsia="Times New Roman" w:hAnsi="Times New Roman" w:cs="Times New Roman"/>
                <w:sz w:val="18"/>
                <w:szCs w:val="18"/>
                <w:lang w:val="en-AU"/>
              </w:rPr>
              <w:t xml:space="preserve">96,226 </w:t>
            </w:r>
            <w:bookmarkEnd w:id="235"/>
          </w:p>
        </w:tc>
      </w:tr>
      <w:tr w:rsidR="00F57422" w:rsidRPr="00F57422">
        <w:trPr>
          <w:trHeight w:val="220"/>
        </w:trPr>
        <w:tc>
          <w:tcPr>
            <w:tcW w:w="6140" w:type="dxa"/>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554" w:type="dxa"/>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8" w:type="dxa"/>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7621" w:type="dxa"/>
            <w:gridSpan w:val="3"/>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The above statement should be read in conjunction with the accompanying notes.</w:t>
            </w:r>
          </w:p>
        </w:tc>
        <w:tc>
          <w:tcPr>
            <w:tcW w:w="8" w:type="dxa"/>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927" w:type="dxa"/>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bl>
    <w:p w:rsidR="00F57422" w:rsidRDefault="00F57422" w:rsidP="00CE7895">
      <w:r>
        <w:br w:type="page"/>
      </w:r>
    </w:p>
    <w:tbl>
      <w:tblPr>
        <w:tblW w:w="8625" w:type="dxa"/>
        <w:tblInd w:w="108" w:type="dxa"/>
        <w:tblLook w:val="04A0"/>
      </w:tblPr>
      <w:tblGrid>
        <w:gridCol w:w="5384"/>
        <w:gridCol w:w="1149"/>
        <w:gridCol w:w="261"/>
        <w:gridCol w:w="977"/>
        <w:gridCol w:w="236"/>
        <w:gridCol w:w="236"/>
        <w:gridCol w:w="106"/>
        <w:gridCol w:w="151"/>
        <w:gridCol w:w="125"/>
      </w:tblGrid>
      <w:tr w:rsidR="00F57422" w:rsidRPr="00F57422">
        <w:trPr>
          <w:trHeight w:val="154"/>
        </w:trPr>
        <w:tc>
          <w:tcPr>
            <w:tcW w:w="5776" w:type="dxa"/>
            <w:tcBorders>
              <w:top w:val="nil"/>
              <w:left w:val="nil"/>
              <w:bottom w:val="nil"/>
              <w:right w:val="nil"/>
            </w:tcBorders>
            <w:shd w:val="clear" w:color="auto" w:fill="auto"/>
            <w:noWrap/>
          </w:tcPr>
          <w:p w:rsidR="00F57422" w:rsidRPr="00F57422" w:rsidRDefault="00F57422" w:rsidP="003E2EFF">
            <w:pPr>
              <w:pStyle w:val="Financialsnotehead"/>
            </w:pPr>
            <w:r w:rsidRPr="00F57422">
              <w:t>SCHEDULE OF COMMITMENTS</w:t>
            </w:r>
          </w:p>
        </w:tc>
        <w:tc>
          <w:tcPr>
            <w:tcW w:w="1176" w:type="dxa"/>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236" w:type="dxa"/>
            <w:gridSpan w:val="2"/>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r>
      <w:tr w:rsidR="00F57422" w:rsidRPr="00F57422">
        <w:trPr>
          <w:trHeight w:val="260"/>
        </w:trPr>
        <w:tc>
          <w:tcPr>
            <w:tcW w:w="8389" w:type="dxa"/>
            <w:gridSpan w:val="7"/>
            <w:tcBorders>
              <w:top w:val="nil"/>
              <w:left w:val="nil"/>
              <w:bottom w:val="single" w:sz="8" w:space="0" w:color="auto"/>
              <w:right w:val="nil"/>
            </w:tcBorders>
            <w:shd w:val="clear" w:color="auto" w:fill="auto"/>
            <w:noWrap/>
            <w:vAlign w:val="bottom"/>
          </w:tcPr>
          <w:p w:rsidR="00F57422" w:rsidRPr="00F57422" w:rsidRDefault="00F57422" w:rsidP="003E2EFF">
            <w:pPr>
              <w:rPr>
                <w:lang w:val="en-AU"/>
              </w:rPr>
            </w:pPr>
            <w:proofErr w:type="gramStart"/>
            <w:r w:rsidRPr="00F57422">
              <w:rPr>
                <w:lang w:val="en-AU"/>
              </w:rPr>
              <w:t>as</w:t>
            </w:r>
            <w:proofErr w:type="gramEnd"/>
            <w:r w:rsidRPr="00F57422">
              <w:rPr>
                <w:lang w:val="en-AU"/>
              </w:rPr>
              <w:t xml:space="preserve"> at 30 June 2014</w:t>
            </w:r>
          </w:p>
        </w:tc>
        <w:tc>
          <w:tcPr>
            <w:tcW w:w="236" w:type="dxa"/>
            <w:gridSpan w:val="2"/>
            <w:tcBorders>
              <w:top w:val="nil"/>
              <w:left w:val="nil"/>
              <w:bottom w:val="nil"/>
              <w:right w:val="nil"/>
            </w:tcBorders>
            <w:shd w:val="clear" w:color="auto" w:fill="auto"/>
            <w:noWrap/>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r>
      <w:tr w:rsidR="00F57422" w:rsidRPr="00F57422">
        <w:trPr>
          <w:trHeight w:val="83"/>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tcBorders>
              <w:top w:val="nil"/>
              <w:left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2014</w:t>
            </w:r>
          </w:p>
        </w:tc>
        <w:tc>
          <w:tcPr>
            <w:tcW w:w="261" w:type="dxa"/>
            <w:tcBorders>
              <w:top w:val="nil"/>
              <w:left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2013</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w:t>
            </w:r>
          </w:p>
        </w:tc>
        <w:tc>
          <w:tcPr>
            <w:tcW w:w="261" w:type="dxa"/>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single" w:sz="4" w:space="0" w:color="auto"/>
              <w:left w:val="nil"/>
              <w:bottom w:val="nil"/>
              <w:right w:val="nil"/>
            </w:tcBorders>
            <w:shd w:val="clear" w:color="auto" w:fill="auto"/>
            <w:noWrap/>
            <w:vAlign w:val="bottom"/>
          </w:tcPr>
          <w:p w:rsidR="00520168" w:rsidRDefault="00520168" w:rsidP="00F57422">
            <w:pPr>
              <w:spacing w:after="0" w:line="240" w:lineRule="auto"/>
              <w:rPr>
                <w:rFonts w:ascii="Times New Roman" w:eastAsia="Times New Roman" w:hAnsi="Times New Roman" w:cs="Times New Roman"/>
                <w:b/>
                <w:bCs/>
                <w:sz w:val="18"/>
                <w:szCs w:val="18"/>
                <w:lang w:val="en-AU"/>
              </w:rPr>
            </w:pPr>
          </w:p>
          <w:p w:rsidR="00520168" w:rsidRDefault="00F4551A" w:rsidP="00F57422">
            <w:pPr>
              <w:spacing w:after="0" w:line="240" w:lineRule="auto"/>
              <w:rPr>
                <w:rFonts w:ascii="Times New Roman" w:eastAsia="Times New Roman" w:hAnsi="Times New Roman" w:cs="Times New Roman"/>
                <w:b/>
                <w:bCs/>
                <w:sz w:val="18"/>
                <w:szCs w:val="18"/>
                <w:lang w:val="en-AU"/>
              </w:rPr>
            </w:pPr>
            <w:r>
              <w:rPr>
                <w:rFonts w:ascii="Times New Roman" w:eastAsia="Times New Roman" w:hAnsi="Times New Roman" w:cs="Times New Roman"/>
                <w:b/>
                <w:bCs/>
                <w:sz w:val="18"/>
                <w:szCs w:val="18"/>
                <w:lang w:val="en-AU"/>
              </w:rPr>
              <w:t>BT TYPE</w:t>
            </w:r>
          </w:p>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Commitments receivable</w:t>
            </w:r>
          </w:p>
        </w:tc>
        <w:tc>
          <w:tcPr>
            <w:tcW w:w="1176"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Net GST recoverable on commitments</w:t>
            </w:r>
            <w:r w:rsidRPr="00F57422">
              <w:rPr>
                <w:rFonts w:ascii="Times New Roman" w:eastAsia="Times New Roman" w:hAnsi="Times New Roman" w:cs="Times New Roman"/>
                <w:sz w:val="18"/>
                <w:szCs w:val="18"/>
                <w:vertAlign w:val="superscript"/>
                <w:lang w:val="en-AU"/>
              </w:rPr>
              <w:t>1</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227,436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237,902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commitments receivable</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227,436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237,902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Commitments payable</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Capital commitments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Intangibles</w:t>
            </w:r>
            <w:r w:rsidRPr="00F57422">
              <w:rPr>
                <w:rFonts w:ascii="Times New Roman" w:eastAsia="Times New Roman" w:hAnsi="Times New Roman" w:cs="Times New Roman"/>
                <w:sz w:val="18"/>
                <w:szCs w:val="18"/>
                <w:vertAlign w:val="superscript"/>
                <w:lang w:val="en-AU"/>
              </w:rPr>
              <w:t>2</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241,495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capital commitments</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241,495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Other commitments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Operating lease</w:t>
            </w:r>
            <w:r w:rsidRPr="00F57422">
              <w:rPr>
                <w:rFonts w:ascii="Times New Roman" w:eastAsia="Times New Roman" w:hAnsi="Times New Roman" w:cs="Times New Roman"/>
                <w:sz w:val="18"/>
                <w:szCs w:val="18"/>
                <w:vertAlign w:val="superscript"/>
                <w:lang w:val="en-AU"/>
              </w:rPr>
              <w:t>3</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1,171,159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1,506,057 </w:t>
            </w:r>
          </w:p>
        </w:tc>
        <w:tc>
          <w:tcPr>
            <w:tcW w:w="236" w:type="dxa"/>
            <w:gridSpan w:val="2"/>
            <w:vMerge w:val="restart"/>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Other</w:t>
            </w:r>
            <w:r w:rsidRPr="00F57422">
              <w:rPr>
                <w:rFonts w:ascii="Times New Roman" w:eastAsia="Times New Roman" w:hAnsi="Times New Roman" w:cs="Times New Roman"/>
                <w:sz w:val="18"/>
                <w:szCs w:val="18"/>
                <w:vertAlign w:val="superscript"/>
                <w:lang w:val="en-AU"/>
              </w:rPr>
              <w:t>4</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1,089,140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1,110,861 </w:t>
            </w:r>
          </w:p>
        </w:tc>
        <w:tc>
          <w:tcPr>
            <w:tcW w:w="236" w:type="dxa"/>
            <w:gridSpan w:val="2"/>
            <w:vMerge/>
            <w:tcBorders>
              <w:top w:val="nil"/>
              <w:left w:val="nil"/>
              <w:bottom w:val="nil"/>
              <w:right w:val="nil"/>
            </w:tcBorders>
            <w:vAlign w:val="center"/>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other commitments</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2,260,299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2,616,918 </w:t>
            </w:r>
          </w:p>
        </w:tc>
        <w:tc>
          <w:tcPr>
            <w:tcW w:w="236" w:type="dxa"/>
            <w:gridSpan w:val="2"/>
            <w:vMerge/>
            <w:tcBorders>
              <w:top w:val="nil"/>
              <w:left w:val="nil"/>
              <w:bottom w:val="nil"/>
              <w:right w:val="nil"/>
            </w:tcBorders>
            <w:vAlign w:val="center"/>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commitments payable</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2,501,794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2,616,918 </w:t>
            </w:r>
          </w:p>
        </w:tc>
        <w:tc>
          <w:tcPr>
            <w:tcW w:w="236" w:type="dxa"/>
            <w:gridSpan w:val="2"/>
            <w:vMerge/>
            <w:tcBorders>
              <w:top w:val="nil"/>
              <w:left w:val="nil"/>
              <w:bottom w:val="nil"/>
              <w:right w:val="nil"/>
            </w:tcBorders>
            <w:vAlign w:val="center"/>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Net commitments by type</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2,274,358 </w:t>
            </w:r>
          </w:p>
        </w:tc>
        <w:tc>
          <w:tcPr>
            <w:tcW w:w="261"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w:t>
            </w: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2,379,016 </w:t>
            </w:r>
          </w:p>
        </w:tc>
        <w:tc>
          <w:tcPr>
            <w:tcW w:w="236" w:type="dxa"/>
            <w:gridSpan w:val="2"/>
            <w:vMerge/>
            <w:tcBorders>
              <w:top w:val="nil"/>
              <w:left w:val="nil"/>
              <w:bottom w:val="nil"/>
              <w:right w:val="nil"/>
            </w:tcBorders>
            <w:vAlign w:val="center"/>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vMerge/>
            <w:tcBorders>
              <w:top w:val="nil"/>
              <w:left w:val="nil"/>
              <w:bottom w:val="nil"/>
              <w:right w:val="nil"/>
            </w:tcBorders>
            <w:vAlign w:val="center"/>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BY MATURITY</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Commitments receivable</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Capital commitments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vMerge w:val="restart"/>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Within 1 year</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21,954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t>
            </w:r>
          </w:p>
        </w:tc>
        <w:tc>
          <w:tcPr>
            <w:tcW w:w="236" w:type="dxa"/>
            <w:gridSpan w:val="2"/>
            <w:vMerge/>
            <w:tcBorders>
              <w:top w:val="nil"/>
              <w:left w:val="nil"/>
              <w:bottom w:val="nil"/>
              <w:right w:val="nil"/>
            </w:tcBorders>
            <w:vAlign w:val="center"/>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capital commitments</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21,954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Operating lease</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Within 1 year</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33,131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31,755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Between 1 to 5 years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73,338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105,160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Total operating lease</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106,469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136,915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eastAsia="Times New Roman" w:cs="Arial"/>
                <w:sz w:val="20"/>
                <w:szCs w:val="20"/>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eastAsia="Times New Roman" w:cs="Arial"/>
                <w:sz w:val="20"/>
                <w:szCs w:val="20"/>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Other commitments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Within 1 year</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66,801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56,181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Between 1 to 5 years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32,212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44,806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Total other commitments</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99,013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100,987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Commitments payable</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Capital commitments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Within 1 year</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241,495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Total capital commitments</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241,495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Operating lease</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Within 1 year</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364,442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349,298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Between 1 to 5 years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806,717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1,156,759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Total operating lease</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1,171,159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1,506,057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Other commitments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Within 1 year</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734,810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617,991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       Between 1 to 5 years</w:t>
            </w: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354,330 </w:t>
            </w:r>
          </w:p>
        </w:tc>
        <w:tc>
          <w:tcPr>
            <w:tcW w:w="261" w:type="dxa"/>
            <w:tcBorders>
              <w:top w:val="nil"/>
              <w:left w:val="nil"/>
              <w:bottom w:val="nil"/>
              <w:right w:val="nil"/>
            </w:tcBorders>
            <w:shd w:val="clear" w:color="auto" w:fill="auto"/>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492,870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   Total other commitments</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1,089,140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1,110,861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Total commitments payable</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2,501,794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2,616,918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24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Net commitments by maturity</w:t>
            </w:r>
          </w:p>
        </w:tc>
        <w:tc>
          <w:tcPr>
            <w:tcW w:w="1176" w:type="dxa"/>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b/>
                <w:bCs/>
                <w:sz w:val="18"/>
                <w:szCs w:val="18"/>
                <w:lang w:val="en-AU"/>
              </w:rPr>
            </w:pPr>
            <w:r w:rsidRPr="00F57422">
              <w:rPr>
                <w:rFonts w:ascii="Times New Roman" w:eastAsia="Times New Roman" w:hAnsi="Times New Roman" w:cs="Times New Roman"/>
                <w:b/>
                <w:bCs/>
                <w:sz w:val="18"/>
                <w:szCs w:val="18"/>
                <w:lang w:val="en-AU"/>
              </w:rPr>
              <w:t xml:space="preserve">2,274,358 </w:t>
            </w: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p>
        </w:tc>
        <w:tc>
          <w:tcPr>
            <w:tcW w:w="1176" w:type="dxa"/>
            <w:gridSpan w:val="4"/>
            <w:tcBorders>
              <w:top w:val="single" w:sz="4" w:space="0" w:color="auto"/>
              <w:left w:val="nil"/>
              <w:bottom w:val="single" w:sz="4" w:space="0" w:color="auto"/>
              <w:right w:val="nil"/>
            </w:tcBorders>
            <w:shd w:val="clear" w:color="auto" w:fill="auto"/>
            <w:noWrap/>
            <w:vAlign w:val="bottom"/>
          </w:tcPr>
          <w:p w:rsidR="00F57422" w:rsidRPr="00F57422" w:rsidRDefault="00F57422" w:rsidP="00F57422">
            <w:pPr>
              <w:spacing w:after="0" w:line="240" w:lineRule="auto"/>
              <w:jc w:val="right"/>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2,379,016 </w:t>
            </w: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trHeight w:val="360"/>
        </w:trPr>
        <w:tc>
          <w:tcPr>
            <w:tcW w:w="57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b/>
                <w:bCs/>
                <w:sz w:val="18"/>
                <w:szCs w:val="18"/>
                <w:lang w:val="en-AU"/>
              </w:rPr>
            </w:pPr>
          </w:p>
        </w:tc>
        <w:tc>
          <w:tcPr>
            <w:tcW w:w="1176"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261"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1176"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c>
          <w:tcPr>
            <w:tcW w:w="236"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gridAfter w:val="1"/>
          <w:wAfter w:w="125" w:type="dxa"/>
          <w:trHeight w:val="87"/>
        </w:trPr>
        <w:tc>
          <w:tcPr>
            <w:tcW w:w="8280" w:type="dxa"/>
            <w:gridSpan w:val="6"/>
            <w:tcBorders>
              <w:top w:val="nil"/>
              <w:left w:val="nil"/>
              <w:bottom w:val="nil"/>
              <w:right w:val="nil"/>
            </w:tcBorders>
            <w:shd w:val="clear" w:color="auto" w:fill="auto"/>
          </w:tcPr>
          <w:p w:rsidR="00F57422" w:rsidRPr="00F57422" w:rsidRDefault="00F57422" w:rsidP="00F57422">
            <w:pPr>
              <w:spacing w:after="24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1. Commitments were</w:t>
            </w:r>
            <w:r>
              <w:rPr>
                <w:rFonts w:ascii="Times New Roman" w:eastAsia="Times New Roman" w:hAnsi="Times New Roman" w:cs="Times New Roman"/>
                <w:sz w:val="18"/>
                <w:szCs w:val="18"/>
                <w:lang w:val="en-AU"/>
              </w:rPr>
              <w:t xml:space="preserve"> GST inclusive where relevant.</w:t>
            </w:r>
          </w:p>
        </w:tc>
        <w:tc>
          <w:tcPr>
            <w:tcW w:w="220" w:type="dxa"/>
            <w:gridSpan w:val="2"/>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gridAfter w:val="1"/>
          <w:wAfter w:w="125" w:type="dxa"/>
          <w:trHeight w:val="266"/>
        </w:trPr>
        <w:tc>
          <w:tcPr>
            <w:tcW w:w="8500" w:type="dxa"/>
            <w:gridSpan w:val="8"/>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2. Intangibles relate to contracts for a case management system.</w:t>
            </w:r>
          </w:p>
        </w:tc>
      </w:tr>
      <w:tr w:rsidR="00F57422" w:rsidRPr="00F57422">
        <w:trPr>
          <w:gridAfter w:val="1"/>
          <w:wAfter w:w="125" w:type="dxa"/>
          <w:trHeight w:val="552"/>
        </w:trPr>
        <w:tc>
          <w:tcPr>
            <w:tcW w:w="8500" w:type="dxa"/>
            <w:gridSpan w:val="8"/>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 xml:space="preserve">3. Operating leases consist of the lease of premises and car parking at the Canberra International Airport from Canberra International Airport Pty Ltd. A new </w:t>
            </w:r>
            <w:proofErr w:type="gramStart"/>
            <w:r w:rsidRPr="00F57422">
              <w:rPr>
                <w:rFonts w:ascii="Times New Roman" w:eastAsia="Times New Roman" w:hAnsi="Times New Roman" w:cs="Times New Roman"/>
                <w:sz w:val="18"/>
                <w:szCs w:val="18"/>
                <w:lang w:val="en-AU"/>
              </w:rPr>
              <w:t>8 year</w:t>
            </w:r>
            <w:proofErr w:type="gramEnd"/>
            <w:r w:rsidRPr="00F57422">
              <w:rPr>
                <w:rFonts w:ascii="Times New Roman" w:eastAsia="Times New Roman" w:hAnsi="Times New Roman" w:cs="Times New Roman"/>
                <w:sz w:val="18"/>
                <w:szCs w:val="18"/>
                <w:lang w:val="en-AU"/>
              </w:rPr>
              <w:t xml:space="preserve"> lease was signed in July 2009.</w:t>
            </w:r>
          </w:p>
        </w:tc>
      </w:tr>
      <w:tr w:rsidR="00F57422" w:rsidRPr="00F57422">
        <w:trPr>
          <w:gridAfter w:val="1"/>
          <w:wAfter w:w="125" w:type="dxa"/>
          <w:trHeight w:val="291"/>
        </w:trPr>
        <w:tc>
          <w:tcPr>
            <w:tcW w:w="8500" w:type="dxa"/>
            <w:gridSpan w:val="8"/>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4. Other commitments represent provision of goods and services expenditure committed prior to 30 June 2014</w:t>
            </w:r>
            <w:r w:rsidR="00520168">
              <w:rPr>
                <w:rFonts w:ascii="Times New Roman" w:eastAsia="Times New Roman" w:hAnsi="Times New Roman" w:cs="Times New Roman"/>
                <w:sz w:val="18"/>
                <w:szCs w:val="18"/>
                <w:lang w:val="en-AU"/>
              </w:rPr>
              <w:t>.</w:t>
            </w:r>
          </w:p>
        </w:tc>
      </w:tr>
      <w:tr w:rsidR="00F57422" w:rsidRPr="00F57422">
        <w:trPr>
          <w:gridAfter w:val="1"/>
          <w:wAfter w:w="125" w:type="dxa"/>
          <w:trHeight w:val="87"/>
        </w:trPr>
        <w:tc>
          <w:tcPr>
            <w:tcW w:w="8500" w:type="dxa"/>
            <w:gridSpan w:val="8"/>
            <w:tcBorders>
              <w:top w:val="nil"/>
              <w:left w:val="nil"/>
              <w:bottom w:val="nil"/>
              <w:right w:val="nil"/>
            </w:tcBorders>
            <w:shd w:val="clear" w:color="auto" w:fill="auto"/>
          </w:tcPr>
          <w:p w:rsidR="00F57422" w:rsidRPr="00F57422" w:rsidRDefault="00F57422" w:rsidP="00F57422">
            <w:pPr>
              <w:spacing w:after="0" w:line="240" w:lineRule="auto"/>
              <w:rPr>
                <w:rFonts w:ascii="Times New Roman" w:eastAsia="Times New Roman" w:hAnsi="Times New Roman" w:cs="Times New Roman"/>
                <w:sz w:val="18"/>
                <w:szCs w:val="18"/>
                <w:lang w:val="en-AU"/>
              </w:rPr>
            </w:pPr>
          </w:p>
        </w:tc>
      </w:tr>
      <w:tr w:rsidR="00F57422" w:rsidRPr="00F57422">
        <w:trPr>
          <w:gridAfter w:val="1"/>
          <w:wAfter w:w="125" w:type="dxa"/>
          <w:trHeight w:val="300"/>
        </w:trPr>
        <w:tc>
          <w:tcPr>
            <w:tcW w:w="8262" w:type="dxa"/>
            <w:gridSpan w:val="4"/>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Times New Roman" w:eastAsia="Times New Roman" w:hAnsi="Times New Roman" w:cs="Times New Roman"/>
                <w:sz w:val="18"/>
                <w:szCs w:val="18"/>
                <w:lang w:val="en-AU"/>
              </w:rPr>
            </w:pPr>
            <w:r w:rsidRPr="00F57422">
              <w:rPr>
                <w:rFonts w:ascii="Times New Roman" w:eastAsia="Times New Roman" w:hAnsi="Times New Roman" w:cs="Times New Roman"/>
                <w:sz w:val="18"/>
                <w:szCs w:val="18"/>
                <w:lang w:val="en-AU"/>
              </w:rPr>
              <w:t>This schedule should be read in conjunction with the accompanying notes.</w:t>
            </w:r>
          </w:p>
        </w:tc>
        <w:tc>
          <w:tcPr>
            <w:tcW w:w="9"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Calibri" w:eastAsia="Times New Roman" w:hAnsi="Calibri" w:cs="Arial"/>
                <w:color w:val="000000"/>
                <w:szCs w:val="22"/>
                <w:lang w:val="en-AU"/>
              </w:rPr>
            </w:pPr>
          </w:p>
        </w:tc>
        <w:tc>
          <w:tcPr>
            <w:tcW w:w="9" w:type="dxa"/>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Calibri" w:eastAsia="Times New Roman" w:hAnsi="Calibri" w:cs="Arial"/>
                <w:color w:val="000000"/>
                <w:szCs w:val="22"/>
                <w:lang w:val="en-AU"/>
              </w:rPr>
            </w:pPr>
          </w:p>
        </w:tc>
        <w:tc>
          <w:tcPr>
            <w:tcW w:w="220" w:type="dxa"/>
            <w:gridSpan w:val="2"/>
            <w:tcBorders>
              <w:top w:val="nil"/>
              <w:left w:val="nil"/>
              <w:bottom w:val="nil"/>
              <w:right w:val="nil"/>
            </w:tcBorders>
            <w:shd w:val="clear" w:color="auto" w:fill="auto"/>
            <w:noWrap/>
            <w:vAlign w:val="bottom"/>
          </w:tcPr>
          <w:p w:rsidR="00F57422" w:rsidRPr="00F57422" w:rsidRDefault="00F57422" w:rsidP="00F57422">
            <w:pPr>
              <w:spacing w:after="0" w:line="240" w:lineRule="auto"/>
              <w:rPr>
                <w:rFonts w:ascii="Calibri" w:eastAsia="Times New Roman" w:hAnsi="Calibri" w:cs="Arial"/>
                <w:color w:val="000000"/>
                <w:szCs w:val="22"/>
                <w:lang w:val="en-AU"/>
              </w:rPr>
            </w:pPr>
          </w:p>
        </w:tc>
      </w:tr>
    </w:tbl>
    <w:p w:rsidR="00BF6798" w:rsidRDefault="00F57422" w:rsidP="00CE7895">
      <w:r>
        <w:br w:type="page"/>
      </w:r>
    </w:p>
    <w:tbl>
      <w:tblPr>
        <w:tblW w:w="9244" w:type="dxa"/>
        <w:tblInd w:w="108" w:type="dxa"/>
        <w:tblLook w:val="04A0"/>
      </w:tblPr>
      <w:tblGrid>
        <w:gridCol w:w="6763"/>
        <w:gridCol w:w="1110"/>
        <w:gridCol w:w="261"/>
        <w:gridCol w:w="1110"/>
      </w:tblGrid>
      <w:tr w:rsidR="00BF6798" w:rsidRPr="00BF6798">
        <w:trPr>
          <w:trHeight w:val="300"/>
        </w:trPr>
        <w:tc>
          <w:tcPr>
            <w:tcW w:w="6796" w:type="dxa"/>
            <w:tcBorders>
              <w:top w:val="nil"/>
              <w:left w:val="nil"/>
              <w:bottom w:val="nil"/>
              <w:right w:val="nil"/>
            </w:tcBorders>
            <w:shd w:val="clear" w:color="auto" w:fill="auto"/>
            <w:noWrap/>
          </w:tcPr>
          <w:p w:rsidR="00BF6798" w:rsidRPr="00BF6798" w:rsidRDefault="00BF6798" w:rsidP="003E2EFF">
            <w:pPr>
              <w:pStyle w:val="Financialsnotehead"/>
            </w:pPr>
            <w:r w:rsidRPr="00BF6798">
              <w:t xml:space="preserve">SCHEDULE OF CONTINGENCIES </w:t>
            </w:r>
          </w:p>
        </w:tc>
        <w:tc>
          <w:tcPr>
            <w:tcW w:w="111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21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11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r>
      <w:tr w:rsidR="00BF6798" w:rsidRPr="00BF6798">
        <w:trPr>
          <w:trHeight w:val="260"/>
        </w:trPr>
        <w:tc>
          <w:tcPr>
            <w:tcW w:w="6796" w:type="dxa"/>
            <w:tcBorders>
              <w:top w:val="nil"/>
              <w:left w:val="nil"/>
              <w:bottom w:val="single" w:sz="8" w:space="0" w:color="auto"/>
              <w:right w:val="nil"/>
            </w:tcBorders>
            <w:shd w:val="clear" w:color="auto" w:fill="auto"/>
            <w:noWrap/>
          </w:tcPr>
          <w:p w:rsidR="00BF6798" w:rsidRPr="00BF6798" w:rsidRDefault="00BF6798" w:rsidP="003E2EFF">
            <w:pPr>
              <w:rPr>
                <w:lang w:val="en-AU"/>
              </w:rPr>
            </w:pPr>
            <w:proofErr w:type="gramStart"/>
            <w:r w:rsidRPr="00BF6798">
              <w:rPr>
                <w:lang w:val="en-AU"/>
              </w:rPr>
              <w:t>as</w:t>
            </w:r>
            <w:proofErr w:type="gramEnd"/>
            <w:r w:rsidRPr="00BF6798">
              <w:rPr>
                <w:lang w:val="en-AU"/>
              </w:rPr>
              <w:t xml:space="preserve"> at 30 June 2014</w:t>
            </w:r>
          </w:p>
        </w:tc>
        <w:tc>
          <w:tcPr>
            <w:tcW w:w="1116" w:type="dxa"/>
            <w:tcBorders>
              <w:top w:val="nil"/>
              <w:left w:val="nil"/>
              <w:bottom w:val="single" w:sz="8" w:space="0" w:color="auto"/>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r w:rsidRPr="00BF6798">
              <w:rPr>
                <w:rFonts w:ascii="Times New Roman" w:eastAsia="Times New Roman" w:hAnsi="Times New Roman" w:cs="Times New Roman"/>
                <w:sz w:val="18"/>
                <w:szCs w:val="18"/>
                <w:lang w:val="en-AU"/>
              </w:rPr>
              <w:t> </w:t>
            </w:r>
          </w:p>
        </w:tc>
        <w:tc>
          <w:tcPr>
            <w:tcW w:w="216" w:type="dxa"/>
            <w:tcBorders>
              <w:top w:val="nil"/>
              <w:left w:val="nil"/>
              <w:bottom w:val="single" w:sz="8" w:space="0" w:color="auto"/>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r w:rsidRPr="00BF6798">
              <w:rPr>
                <w:rFonts w:ascii="Times New Roman" w:eastAsia="Times New Roman" w:hAnsi="Times New Roman" w:cs="Times New Roman"/>
                <w:sz w:val="18"/>
                <w:szCs w:val="18"/>
                <w:lang w:val="en-AU"/>
              </w:rPr>
              <w:t> </w:t>
            </w:r>
          </w:p>
        </w:tc>
        <w:tc>
          <w:tcPr>
            <w:tcW w:w="1116" w:type="dxa"/>
            <w:tcBorders>
              <w:top w:val="nil"/>
              <w:left w:val="nil"/>
              <w:bottom w:val="single" w:sz="8" w:space="0" w:color="auto"/>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r w:rsidRPr="00BF6798">
              <w:rPr>
                <w:rFonts w:ascii="Times New Roman" w:eastAsia="Times New Roman" w:hAnsi="Times New Roman" w:cs="Times New Roman"/>
                <w:sz w:val="18"/>
                <w:szCs w:val="18"/>
                <w:lang w:val="en-AU"/>
              </w:rPr>
              <w:t> </w:t>
            </w:r>
          </w:p>
        </w:tc>
      </w:tr>
      <w:tr w:rsidR="00BF6798" w:rsidRPr="00BF6798">
        <w:trPr>
          <w:trHeight w:val="240"/>
        </w:trPr>
        <w:tc>
          <w:tcPr>
            <w:tcW w:w="6796" w:type="dxa"/>
            <w:tcBorders>
              <w:top w:val="single" w:sz="8" w:space="0" w:color="auto"/>
              <w:left w:val="nil"/>
              <w:bottom w:val="nil"/>
              <w:right w:val="nil"/>
            </w:tcBorders>
            <w:shd w:val="clear" w:color="auto" w:fill="auto"/>
            <w:noWrap/>
          </w:tcPr>
          <w:p w:rsidR="00BF6798" w:rsidRPr="00BF6798" w:rsidRDefault="00BF6798" w:rsidP="00BF6798">
            <w:pPr>
              <w:spacing w:after="0" w:line="240" w:lineRule="auto"/>
              <w:rPr>
                <w:rFonts w:ascii="Times New Roman" w:eastAsia="Times New Roman" w:hAnsi="Times New Roman" w:cs="Times New Roman"/>
                <w:b/>
                <w:bCs/>
                <w:sz w:val="18"/>
                <w:szCs w:val="18"/>
                <w:lang w:val="en-AU"/>
              </w:rPr>
            </w:pPr>
            <w:r w:rsidRPr="00BF6798">
              <w:rPr>
                <w:rFonts w:ascii="Times New Roman" w:eastAsia="Times New Roman" w:hAnsi="Times New Roman" w:cs="Times New Roman"/>
                <w:b/>
                <w:bCs/>
                <w:sz w:val="18"/>
                <w:szCs w:val="18"/>
                <w:lang w:val="en-AU"/>
              </w:rPr>
              <w:t> </w:t>
            </w:r>
          </w:p>
        </w:tc>
        <w:tc>
          <w:tcPr>
            <w:tcW w:w="1116" w:type="dxa"/>
            <w:tcBorders>
              <w:top w:val="single" w:sz="8" w:space="0" w:color="auto"/>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r w:rsidRPr="00BF6798">
              <w:rPr>
                <w:rFonts w:ascii="Times New Roman" w:eastAsia="Times New Roman" w:hAnsi="Times New Roman" w:cs="Times New Roman"/>
                <w:sz w:val="18"/>
                <w:szCs w:val="18"/>
                <w:lang w:val="en-AU"/>
              </w:rPr>
              <w:t> </w:t>
            </w:r>
          </w:p>
        </w:tc>
        <w:tc>
          <w:tcPr>
            <w:tcW w:w="216" w:type="dxa"/>
            <w:tcBorders>
              <w:top w:val="single" w:sz="8" w:space="0" w:color="auto"/>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r w:rsidRPr="00BF6798">
              <w:rPr>
                <w:rFonts w:ascii="Times New Roman" w:eastAsia="Times New Roman" w:hAnsi="Times New Roman" w:cs="Times New Roman"/>
                <w:sz w:val="18"/>
                <w:szCs w:val="18"/>
                <w:lang w:val="en-AU"/>
              </w:rPr>
              <w:t> </w:t>
            </w:r>
          </w:p>
        </w:tc>
        <w:tc>
          <w:tcPr>
            <w:tcW w:w="1116" w:type="dxa"/>
            <w:tcBorders>
              <w:top w:val="single" w:sz="8" w:space="0" w:color="auto"/>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r w:rsidRPr="00BF6798">
              <w:rPr>
                <w:rFonts w:ascii="Times New Roman" w:eastAsia="Times New Roman" w:hAnsi="Times New Roman" w:cs="Times New Roman"/>
                <w:sz w:val="18"/>
                <w:szCs w:val="18"/>
                <w:lang w:val="en-AU"/>
              </w:rPr>
              <w:t> </w:t>
            </w:r>
          </w:p>
        </w:tc>
      </w:tr>
      <w:tr w:rsidR="00BF6798" w:rsidRPr="00BF6798">
        <w:trPr>
          <w:trHeight w:val="240"/>
        </w:trPr>
        <w:tc>
          <w:tcPr>
            <w:tcW w:w="6796" w:type="dxa"/>
            <w:tcBorders>
              <w:top w:val="nil"/>
              <w:left w:val="nil"/>
              <w:bottom w:val="nil"/>
              <w:right w:val="nil"/>
            </w:tcBorders>
            <w:shd w:val="clear" w:color="auto" w:fill="auto"/>
            <w:noWrap/>
          </w:tcPr>
          <w:p w:rsidR="00BF6798" w:rsidRPr="00BF6798" w:rsidRDefault="00BF6798" w:rsidP="003E2EFF">
            <w:pPr>
              <w:rPr>
                <w:lang w:val="en-AU"/>
              </w:rPr>
            </w:pPr>
            <w:r w:rsidRPr="00BF6798">
              <w:rPr>
                <w:lang w:val="en-AU"/>
              </w:rPr>
              <w:t>At 30 June 2014, PSR did not have any contingencies (2013: nil).</w:t>
            </w:r>
          </w:p>
        </w:tc>
        <w:tc>
          <w:tcPr>
            <w:tcW w:w="111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21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11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r>
    </w:tbl>
    <w:p w:rsidR="00BF6798" w:rsidRDefault="00BF6798" w:rsidP="00CE7895"/>
    <w:p w:rsidR="00520168" w:rsidRDefault="00BF6798" w:rsidP="00520168">
      <w:r>
        <w:br w:type="page"/>
      </w:r>
      <w:r w:rsidR="00520168" w:rsidRPr="00FA6C41">
        <w:t>Notes to and forming part of the financ</w:t>
      </w:r>
      <w:r w:rsidR="00520168" w:rsidRPr="00223AA9">
        <w:t>i</w:t>
      </w:r>
      <w:r w:rsidR="00520168" w:rsidRPr="00FA6C41">
        <w:t xml:space="preserve">al statements </w:t>
      </w:r>
    </w:p>
    <w:p w:rsidR="00223AA9" w:rsidRDefault="00FA6C41" w:rsidP="00297816">
      <w:pPr>
        <w:pStyle w:val="Financialsnotehead"/>
        <w:pBdr>
          <w:bottom w:val="single" w:sz="4" w:space="1" w:color="auto"/>
        </w:pBdr>
      </w:pPr>
      <w:r w:rsidRPr="00FA6C41">
        <w:t>Note 1: Summary of Significant Accounting Policies</w:t>
      </w:r>
    </w:p>
    <w:p w:rsidR="00FA6C41" w:rsidRPr="00223AA9" w:rsidRDefault="00FA6C41" w:rsidP="00223AA9">
      <w:pPr>
        <w:pStyle w:val="Heading3"/>
        <w:rPr>
          <w:rFonts w:ascii="SamoSansPro-Light" w:hAnsi="SamoSansPro-Light" w:cs="SamoSansPro-Light"/>
          <w:color w:val="000000"/>
          <w:sz w:val="19"/>
          <w:szCs w:val="19"/>
        </w:rPr>
      </w:pPr>
      <w:bookmarkStart w:id="236" w:name="_Toc275439516"/>
      <w:bookmarkStart w:id="237" w:name="_Toc276039612"/>
      <w:bookmarkStart w:id="238" w:name="_Toc276039977"/>
      <w:bookmarkStart w:id="239" w:name="_Toc276040219"/>
      <w:r w:rsidRPr="00FA6C41">
        <w:rPr>
          <w:lang w:val="en-GB"/>
        </w:rPr>
        <w:t>1.1 Objectives of the Professional Services Review</w:t>
      </w:r>
      <w:bookmarkEnd w:id="236"/>
      <w:bookmarkEnd w:id="237"/>
      <w:bookmarkEnd w:id="238"/>
      <w:bookmarkEnd w:id="239"/>
    </w:p>
    <w:p w:rsidR="00FA6C41" w:rsidRPr="00FA6C41" w:rsidRDefault="00FA6C41" w:rsidP="00D40F94">
      <w:pPr>
        <w:pStyle w:val="bodytext"/>
      </w:pPr>
      <w:r w:rsidRPr="00FA6C41">
        <w:t>Professional Services Review (PSR) is an Australian Government controlled entity.  The objective of PSR is to investigate suspected cases of inappropriate practice by health practitioners on request from Department of Human Services.</w:t>
      </w:r>
      <w:r w:rsidRPr="00FA6C41">
        <w:tab/>
      </w:r>
      <w:r w:rsidRPr="00FA6C41">
        <w:tab/>
      </w:r>
    </w:p>
    <w:p w:rsidR="00FA6C41" w:rsidRPr="00FA6C41" w:rsidRDefault="00FA6C41" w:rsidP="00D40F94">
      <w:pPr>
        <w:pStyle w:val="bodytext"/>
      </w:pPr>
      <w:r w:rsidRPr="00FA6C41">
        <w:t>PSR has only one outcome:</w:t>
      </w:r>
    </w:p>
    <w:p w:rsidR="00FA6C41" w:rsidRPr="00FA6C41" w:rsidRDefault="00FA6C41" w:rsidP="00D40F94">
      <w:pPr>
        <w:pStyle w:val="bodytext"/>
      </w:pPr>
      <w:r w:rsidRPr="00FA6C41">
        <w:t>Outcome 1: A reduction of the risks to patients and costs to the Australian Government of inappropriate clinical practice, including through investigating health services claimed under the Medicare and Pharmaceutical Benefits Schemes.</w:t>
      </w:r>
    </w:p>
    <w:p w:rsidR="00FA6C41" w:rsidRPr="00FA6C41" w:rsidRDefault="00FA6C41" w:rsidP="00D40F94">
      <w:pPr>
        <w:pStyle w:val="bodytext"/>
      </w:pPr>
      <w:r w:rsidRPr="00FA6C41">
        <w:t>The continued existence of the entity in its present form and with its present programs is dependent on Government policy and on continuing funding by Parliament for PSR administration and programs.</w:t>
      </w:r>
    </w:p>
    <w:p w:rsidR="00FA6C41" w:rsidRPr="00FA6C41" w:rsidRDefault="00FA6C41" w:rsidP="00D40F94">
      <w:pPr>
        <w:pStyle w:val="bodytext"/>
      </w:pPr>
      <w:r w:rsidRPr="00FA6C41">
        <w:t xml:space="preserve">PSR activities contributing toward this outcome are classified as Departmental activities. Departmental activities involve the use of assets, liabilities, </w:t>
      </w:r>
      <w:proofErr w:type="gramStart"/>
      <w:r w:rsidRPr="00FA6C41">
        <w:t>income</w:t>
      </w:r>
      <w:proofErr w:type="gramEnd"/>
      <w:r w:rsidRPr="00FA6C41">
        <w:t xml:space="preserve"> and expenses controlled or incurred by PSR in its own right.</w:t>
      </w:r>
    </w:p>
    <w:p w:rsidR="00FA6C41" w:rsidRPr="00FA6C41" w:rsidRDefault="00FA6C41" w:rsidP="00223AA9">
      <w:pPr>
        <w:pStyle w:val="Heading3"/>
        <w:rPr>
          <w:rFonts w:ascii="SamoSansPro-Light" w:hAnsi="SamoSansPro-Light" w:cs="SamoSansPro-Light"/>
          <w:color w:val="000000"/>
          <w:sz w:val="19"/>
          <w:szCs w:val="19"/>
        </w:rPr>
      </w:pPr>
      <w:bookmarkStart w:id="240" w:name="_Toc275439517"/>
      <w:bookmarkStart w:id="241" w:name="_Toc276039613"/>
      <w:bookmarkStart w:id="242" w:name="_Toc276039978"/>
      <w:bookmarkStart w:id="243" w:name="_Toc276040220"/>
      <w:r w:rsidRPr="00FA6C41">
        <w:t>1.2   Basis of Preparation of the Financial Statements</w:t>
      </w:r>
      <w:bookmarkEnd w:id="240"/>
      <w:bookmarkEnd w:id="241"/>
      <w:bookmarkEnd w:id="242"/>
      <w:bookmarkEnd w:id="243"/>
    </w:p>
    <w:p w:rsidR="00FA6C41" w:rsidRPr="00FA6C41" w:rsidRDefault="00FA6C41" w:rsidP="00D40F94">
      <w:pPr>
        <w:pStyle w:val="bodytext"/>
      </w:pPr>
      <w:r w:rsidRPr="00FA6C41">
        <w:t xml:space="preserve">The financial statements are </w:t>
      </w:r>
      <w:proofErr w:type="gramStart"/>
      <w:r w:rsidRPr="00FA6C41">
        <w:t>general purpose</w:t>
      </w:r>
      <w:proofErr w:type="gramEnd"/>
      <w:r w:rsidRPr="00FA6C41">
        <w:t xml:space="preserve"> financial statements and are required by section 49 of the </w:t>
      </w:r>
      <w:r w:rsidRPr="00FA6C41">
        <w:rPr>
          <w:i/>
          <w:iCs/>
        </w:rPr>
        <w:t>Financial Management and Accountability Act 1997</w:t>
      </w:r>
      <w:r w:rsidRPr="00FA6C41">
        <w:t>.</w:t>
      </w:r>
      <w:r w:rsidRPr="00FA6C41">
        <w:tab/>
      </w:r>
    </w:p>
    <w:p w:rsidR="00FA6C41" w:rsidRPr="00FA6C41" w:rsidRDefault="00FA6C41" w:rsidP="00D40F94">
      <w:pPr>
        <w:pStyle w:val="bodytext"/>
      </w:pPr>
      <w:r w:rsidRPr="00FA6C41">
        <w:t>The financial statements have been prepared in accordance with:</w:t>
      </w:r>
    </w:p>
    <w:p w:rsidR="00FA6C41" w:rsidRPr="00FA6C41" w:rsidRDefault="00FA6C41" w:rsidP="00FA6C41">
      <w:pPr>
        <w:pStyle w:val="ListBullet"/>
        <w:rPr>
          <w:lang w:val="en-GB"/>
        </w:rPr>
      </w:pPr>
      <w:r w:rsidRPr="00FA6C41">
        <w:rPr>
          <w:lang w:val="en-GB"/>
        </w:rPr>
        <w:t xml:space="preserve">Finance Minister’s Orders (FMOs) for reporting periods ending on or after 1 July 2011; and  </w:t>
      </w:r>
    </w:p>
    <w:p w:rsidR="00FA6C41" w:rsidRPr="00FA6C41" w:rsidRDefault="00FA6C41" w:rsidP="00FA6C41">
      <w:pPr>
        <w:pStyle w:val="ListBullet"/>
        <w:rPr>
          <w:lang w:val="en-GB"/>
        </w:rPr>
      </w:pPr>
      <w:r w:rsidRPr="00FA6C41">
        <w:rPr>
          <w:lang w:val="en-GB"/>
        </w:rPr>
        <w:t>Australian Accounting Standards and Interpretations issued by the Australian Accounting Standards Board (AASB) that apply for the reporting period.</w:t>
      </w:r>
      <w:r w:rsidRPr="00FA6C41">
        <w:rPr>
          <w:lang w:val="en-GB"/>
        </w:rPr>
        <w:tab/>
      </w:r>
    </w:p>
    <w:p w:rsidR="00FA6C41" w:rsidRPr="00FA6C41" w:rsidRDefault="00FA6C41" w:rsidP="00D40F94">
      <w:pPr>
        <w:pStyle w:val="bodytext"/>
      </w:pPr>
      <w:r w:rsidRPr="00FA6C41">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r w:rsidRPr="00FA6C41">
        <w:tab/>
      </w:r>
      <w:r w:rsidRPr="00FA6C41">
        <w:tab/>
      </w:r>
    </w:p>
    <w:p w:rsidR="00FA6C41" w:rsidRPr="00FA6C41" w:rsidRDefault="00FA6C41" w:rsidP="00D40F94">
      <w:pPr>
        <w:pStyle w:val="bodytext"/>
      </w:pPr>
      <w:r w:rsidRPr="00FA6C41">
        <w:t>The financial statements are presented in Australian dollars and values are rounded to the nearest dollar unless otherwise specified.</w:t>
      </w:r>
    </w:p>
    <w:p w:rsidR="00FA6C41" w:rsidRPr="00FA6C41" w:rsidRDefault="00FA6C41" w:rsidP="00D40F94">
      <w:pPr>
        <w:pStyle w:val="bodytext"/>
      </w:pPr>
      <w:r w:rsidRPr="00FA6C41">
        <w:t>Unless an alternative treatment is specifically required by an accounting standard or the FMOs, assets and liabilities are recognised in the statement of financial position when and only when it is probable that future economic benefits will flow to the entity or a future sacrifice of economic benefits will be required and the amounts of the assets or liabilities can be reliably measured.  However, assets and liabilities arising under executor contracts are not recognised unless required by an accounting standard.  Liabilities and assets that are unrecognised are reported in the schedule of commitments or the schedule of contingencies.</w:t>
      </w:r>
      <w:r w:rsidRPr="00FA6C41">
        <w:tab/>
      </w:r>
    </w:p>
    <w:p w:rsidR="00FA6C41" w:rsidRPr="00FA6C41" w:rsidRDefault="00FA6C41" w:rsidP="00D40F94">
      <w:pPr>
        <w:pStyle w:val="bodytext"/>
      </w:pPr>
      <w:r w:rsidRPr="00FA6C41">
        <w:t xml:space="preserve">Unless alternative treatment is specifically required by an accounting standard, income and expenses are recognised in the statement of comprehensive income when and only when the flow, consumption or loss of economic benefits has occurred and can be reliably measured.   </w:t>
      </w:r>
    </w:p>
    <w:p w:rsidR="00FA6C41" w:rsidRPr="00FA6C41" w:rsidRDefault="00FA6C41" w:rsidP="00D40F94">
      <w:pPr>
        <w:pStyle w:val="bodytext"/>
      </w:pPr>
      <w:r w:rsidRPr="00FA6C41">
        <w:t>Certain comparative amounts have been reclassified or adjusted to comply with current year’s presentation. There are minor changes to the departmental statement of financial position, cash flow statement, Note 8A, Note 9A and Note 14C.</w:t>
      </w:r>
    </w:p>
    <w:p w:rsidR="00FA6C41" w:rsidRPr="00FA6C41" w:rsidRDefault="00FA6C41" w:rsidP="00223AA9">
      <w:pPr>
        <w:pStyle w:val="Heading3"/>
        <w:rPr>
          <w:rFonts w:ascii="SamoSansPro-Light" w:hAnsi="SamoSansPro-Light" w:cs="SamoSansPro-Light"/>
          <w:color w:val="000000"/>
          <w:sz w:val="19"/>
          <w:szCs w:val="19"/>
          <w:lang w:val="en-GB"/>
        </w:rPr>
      </w:pPr>
      <w:bookmarkStart w:id="244" w:name="_Toc275439518"/>
      <w:bookmarkStart w:id="245" w:name="_Toc276039614"/>
      <w:bookmarkStart w:id="246" w:name="_Toc276039979"/>
      <w:bookmarkStart w:id="247" w:name="_Toc276040221"/>
      <w:r w:rsidRPr="00FA6C41">
        <w:rPr>
          <w:lang w:val="en-GB"/>
        </w:rPr>
        <w:t>1.3 Significant Accounting Judgements and Estimates</w:t>
      </w:r>
      <w:bookmarkEnd w:id="244"/>
      <w:bookmarkEnd w:id="245"/>
      <w:bookmarkEnd w:id="246"/>
      <w:bookmarkEnd w:id="247"/>
    </w:p>
    <w:p w:rsidR="00FA6C41" w:rsidRPr="00FA6C41" w:rsidRDefault="00FA6C41" w:rsidP="00D40F94">
      <w:pPr>
        <w:pStyle w:val="bodytext"/>
      </w:pPr>
      <w:r w:rsidRPr="00FA6C41">
        <w:t>In the process of applying the accounting policies listed in this note, PSR has not made any accounting judgements that have a significant impact on the amounts recorded in the financial statements.</w:t>
      </w:r>
      <w:r w:rsidRPr="00FA6C41">
        <w:tab/>
      </w:r>
    </w:p>
    <w:p w:rsidR="00FA6C41" w:rsidRPr="00FA6C41" w:rsidRDefault="00FA6C41" w:rsidP="00D40F94">
      <w:pPr>
        <w:pStyle w:val="bodytext"/>
      </w:pPr>
      <w:r w:rsidRPr="00FA6C41">
        <w:t>No accounting assumptions or estimates have been identified that have a significant risk of causing a material adjustment to carrying amounts of assets and liabilities within the next reporting period.</w:t>
      </w:r>
    </w:p>
    <w:p w:rsidR="00FA6C41" w:rsidRPr="00FA6C41" w:rsidRDefault="00FA6C41" w:rsidP="00223AA9">
      <w:pPr>
        <w:pStyle w:val="Heading3"/>
        <w:rPr>
          <w:rFonts w:ascii="SamoSansPro-Light" w:hAnsi="SamoSansPro-Light" w:cs="SamoSansPro-Light"/>
          <w:color w:val="000000"/>
          <w:sz w:val="19"/>
          <w:szCs w:val="19"/>
          <w:lang w:val="en-GB"/>
        </w:rPr>
      </w:pPr>
      <w:bookmarkStart w:id="248" w:name="_Toc275439519"/>
      <w:bookmarkStart w:id="249" w:name="_Toc276039615"/>
      <w:bookmarkStart w:id="250" w:name="_Toc276039980"/>
      <w:bookmarkStart w:id="251" w:name="_Toc276040222"/>
      <w:r w:rsidRPr="00FA6C41">
        <w:rPr>
          <w:lang w:val="en-GB"/>
        </w:rPr>
        <w:t>1.4 New Australian Accounting Standards</w:t>
      </w:r>
      <w:bookmarkEnd w:id="248"/>
      <w:bookmarkEnd w:id="249"/>
      <w:bookmarkEnd w:id="250"/>
      <w:bookmarkEnd w:id="251"/>
    </w:p>
    <w:p w:rsidR="00FA6C41" w:rsidRPr="00FA6C41" w:rsidRDefault="00FA6C41" w:rsidP="00223AA9">
      <w:pPr>
        <w:pStyle w:val="Heading41"/>
      </w:pPr>
      <w:r w:rsidRPr="00FA6C41">
        <w:t>Adoption of New Australian Accounting Standard Requirements</w:t>
      </w:r>
    </w:p>
    <w:p w:rsidR="00FA6C41" w:rsidRPr="00FA6C41" w:rsidRDefault="00FA6C41" w:rsidP="00D40F94">
      <w:pPr>
        <w:pStyle w:val="bodytext"/>
      </w:pPr>
      <w:r w:rsidRPr="00FA6C41">
        <w:t xml:space="preserve">No accounting standard has been adopted earlier than the application date as stated in the standard.  </w:t>
      </w:r>
    </w:p>
    <w:p w:rsidR="00FA6C41" w:rsidRPr="00FA6C41" w:rsidRDefault="00FA6C41" w:rsidP="00D40F94">
      <w:pPr>
        <w:pStyle w:val="bodytext"/>
      </w:pPr>
      <w:r w:rsidRPr="00FA6C41">
        <w:t>The following new standard was issued prior to the signing of the statement by the chief executive and chief financial officer, were applicable to the current reporting period and had a material effect on PSR’s financial statements:</w:t>
      </w:r>
      <w:r w:rsidRPr="00FA6C41">
        <w:tab/>
      </w:r>
    </w:p>
    <w:p w:rsidR="00FA6C41" w:rsidRPr="00223AA9" w:rsidRDefault="00FA6C41" w:rsidP="00223AA9">
      <w:pPr>
        <w:rPr>
          <w:rFonts w:ascii="SamoSansPro-Medium" w:hAnsi="SamoSansPro-Medium" w:cs="SamoSansPro-Medium"/>
          <w:i/>
          <w:iCs/>
          <w:u w:val="single"/>
          <w:lang w:val="en-GB"/>
        </w:rPr>
      </w:pPr>
      <w:r w:rsidRPr="00223AA9">
        <w:rPr>
          <w:u w:val="single"/>
          <w:lang w:val="en-GB"/>
        </w:rPr>
        <w:t>AASB 13 Fair Value Measurement</w:t>
      </w:r>
    </w:p>
    <w:p w:rsidR="00FA6C41" w:rsidRPr="00FA6C41" w:rsidRDefault="00FA6C41" w:rsidP="00D40F94">
      <w:pPr>
        <w:pStyle w:val="bodytext"/>
      </w:pPr>
      <w:r w:rsidRPr="00FA6C41">
        <w:t xml:space="preserve">AASB 13 has been released as a result of the International Accounting Standard Board’s (IASB) project to ensure consistency of fair value measurement and disclosure within financial statements.  </w:t>
      </w:r>
    </w:p>
    <w:p w:rsidR="00FA6C41" w:rsidRPr="00FA6C41" w:rsidRDefault="00FA6C41" w:rsidP="00D40F94">
      <w:pPr>
        <w:pStyle w:val="bodytext"/>
      </w:pPr>
      <w:r w:rsidRPr="00FA6C41">
        <w:t>AASB 13 defines fair value as “the price that would be received to sell an asset or paid to transfer a liability in an orderly transaction between market participants at the measurement date.” This value does not factor in PSR specific intentions for the asset, for example whether PSR intends to hold or sell the asset.</w:t>
      </w:r>
    </w:p>
    <w:p w:rsidR="00FA6C41" w:rsidRPr="00FA6C41" w:rsidRDefault="00FA6C41" w:rsidP="00D40F94">
      <w:pPr>
        <w:pStyle w:val="bodytext"/>
      </w:pPr>
      <w:r w:rsidRPr="00FA6C41">
        <w:t>Key features included in AASB 13 are; the requirement to value non-financial assets at their highest and best use; identification of a principal (or most advantageous) market</w:t>
      </w:r>
      <w:proofErr w:type="gramStart"/>
      <w:r w:rsidRPr="00FA6C41">
        <w:t>;</w:t>
      </w:r>
      <w:proofErr w:type="gramEnd"/>
      <w:r w:rsidRPr="00FA6C41">
        <w:t xml:space="preserve"> and disclosure of all fair value measurements based on the fair value hierarchy. AASB 13 also introduces additional disclosures. It extends the fair value hierarchy disclosures previously required for financial instruments alone to all assets and liabilities carried at fair value.</w:t>
      </w:r>
    </w:p>
    <w:p w:rsidR="00FA6C41" w:rsidRPr="00FA6C41" w:rsidRDefault="00FA6C41" w:rsidP="00D40F94">
      <w:pPr>
        <w:pStyle w:val="bodytext"/>
      </w:pPr>
      <w:r w:rsidRPr="00FA6C41">
        <w:t>The following revised standard was issued prior to the signing of the statement by the chief executive and chief financial officer, were applicable to the current reporting period and had a material effect on PSR’s financial statements:</w:t>
      </w:r>
    </w:p>
    <w:p w:rsidR="00FA6C41" w:rsidRPr="00223AA9" w:rsidRDefault="00FA6C41" w:rsidP="00223AA9">
      <w:pPr>
        <w:rPr>
          <w:u w:val="single"/>
          <w:lang w:val="en-GB"/>
        </w:rPr>
      </w:pPr>
      <w:r w:rsidRPr="00223AA9">
        <w:rPr>
          <w:u w:val="single"/>
          <w:lang w:val="en-GB"/>
        </w:rPr>
        <w:t>AASB 119 Employee Benefits</w:t>
      </w:r>
    </w:p>
    <w:p w:rsidR="00FA6C41" w:rsidRPr="00FA6C41" w:rsidRDefault="00FA6C41" w:rsidP="00D40F94">
      <w:pPr>
        <w:pStyle w:val="bodytext"/>
      </w:pPr>
      <w:r w:rsidRPr="00FA6C41">
        <w:t>AASB 119 was reissued as a result of the International Accounting Standard Board’s (IASB) project to increase the useability and comparability of post-employment benefit liabilities. The recognition rules and definitions related to termination benefits have been revised, which could have an impact on the financial statements when PSR recognises termination expenses.</w:t>
      </w:r>
    </w:p>
    <w:p w:rsidR="00FA6C41" w:rsidRPr="00FA6C41" w:rsidRDefault="00FA6C41" w:rsidP="00D40F94">
      <w:pPr>
        <w:pStyle w:val="bodytext"/>
      </w:pPr>
      <w:r w:rsidRPr="00FA6C41">
        <w:t xml:space="preserve">Short-term employee benefits are now defined as employee benefits that </w:t>
      </w:r>
      <w:proofErr w:type="gramStart"/>
      <w:r w:rsidRPr="00FA6C41">
        <w:t>are expected to be settled</w:t>
      </w:r>
      <w:proofErr w:type="gramEnd"/>
      <w:r w:rsidRPr="00FA6C41">
        <w:t xml:space="preserve"> wholly within twelve months after reporting date. Previously, short-term employee benefits were defined as employee benefits due to be settled within twelve months. AASB 119 requires retrospective application, with limited exemptions for comparative information and previously capitalised employee costs.</w:t>
      </w:r>
    </w:p>
    <w:p w:rsidR="00FA6C41" w:rsidRPr="00FA6C41" w:rsidRDefault="00FA6C41" w:rsidP="00D40F94">
      <w:pPr>
        <w:pStyle w:val="bodytext"/>
      </w:pPr>
      <w:r w:rsidRPr="00FA6C41">
        <w:t>All other new and revised standards and interpretations that were issued prior to the sign-off date and are applicable to the current reporting period did not have a material effect, and are not expected to have a future material effect, on PSR’s financial statements.</w:t>
      </w:r>
    </w:p>
    <w:p w:rsidR="00FA6C41" w:rsidRPr="00FA6C41" w:rsidRDefault="00FA6C41" w:rsidP="00223AA9">
      <w:pPr>
        <w:pStyle w:val="Heading41"/>
      </w:pPr>
      <w:r w:rsidRPr="00FA6C41">
        <w:t>Future Australian Accounting Standard Requirements</w:t>
      </w:r>
    </w:p>
    <w:p w:rsidR="00FA6C41" w:rsidRPr="00FA6C41" w:rsidRDefault="00FA6C41" w:rsidP="00D40F94">
      <w:pPr>
        <w:pStyle w:val="bodytext"/>
      </w:pPr>
      <w:r w:rsidRPr="00FA6C41">
        <w:t>The following new standard was issued by the Australian Accounting Standards Board prior to the signing of the statement by the chief executive and chief financial officer, which are expected to have a material impact on PSR’s financial statements for future reporting period(s):</w:t>
      </w:r>
    </w:p>
    <w:p w:rsidR="00FA6C41" w:rsidRPr="00223AA9" w:rsidRDefault="00FA6C41" w:rsidP="00223AA9">
      <w:pPr>
        <w:rPr>
          <w:u w:val="single"/>
          <w:lang w:val="en-GB"/>
        </w:rPr>
      </w:pPr>
      <w:r w:rsidRPr="00223AA9">
        <w:rPr>
          <w:u w:val="single"/>
          <w:lang w:val="en-GB"/>
        </w:rPr>
        <w:t>AASB 1055 Budgetary Reporting</w:t>
      </w:r>
    </w:p>
    <w:p w:rsidR="00FA6C41" w:rsidRPr="00FA6C41" w:rsidRDefault="00FA6C41" w:rsidP="00D40F94">
      <w:pPr>
        <w:pStyle w:val="bodytext"/>
      </w:pPr>
      <w:r w:rsidRPr="00FA6C41">
        <w:t>AASB 1055 sets out budgetary disclosure requirements for the whole of-government, the General Government Sector (GGS) and for not-for profit entities within the GGS of each government.</w:t>
      </w:r>
    </w:p>
    <w:p w:rsidR="00FA6C41" w:rsidRPr="00FA6C41" w:rsidRDefault="00FA6C41" w:rsidP="00FA6C41">
      <w:pPr>
        <w:rPr>
          <w:lang w:val="en-GB"/>
        </w:rPr>
      </w:pPr>
      <w:r w:rsidRPr="00FA6C41">
        <w:rPr>
          <w:lang w:val="en-GB"/>
        </w:rPr>
        <w:t>AASB 1055 requires:</w:t>
      </w:r>
    </w:p>
    <w:p w:rsidR="00FA6C41" w:rsidRPr="00FA6C41" w:rsidRDefault="00FA6C41" w:rsidP="00FA6C41">
      <w:pPr>
        <w:pStyle w:val="ListBullet"/>
        <w:rPr>
          <w:lang w:val="en-GB"/>
        </w:rPr>
      </w:pPr>
      <w:proofErr w:type="gramStart"/>
      <w:r w:rsidRPr="00FA6C41">
        <w:rPr>
          <w:lang w:val="en-GB"/>
        </w:rPr>
        <w:t>disclosure</w:t>
      </w:r>
      <w:proofErr w:type="gramEnd"/>
      <w:r w:rsidRPr="00FA6C41">
        <w:rPr>
          <w:lang w:val="en-GB"/>
        </w:rPr>
        <w:t xml:space="preserve"> of an entity’s original budgeted financial statements reflecting controlled items and administered items; </w:t>
      </w:r>
    </w:p>
    <w:p w:rsidR="00FA6C41" w:rsidRPr="00FA6C41" w:rsidRDefault="00FA6C41" w:rsidP="00FA6C41">
      <w:pPr>
        <w:pStyle w:val="ListBullet"/>
        <w:rPr>
          <w:lang w:val="en-GB"/>
        </w:rPr>
      </w:pPr>
      <w:proofErr w:type="gramStart"/>
      <w:r w:rsidRPr="00FA6C41">
        <w:rPr>
          <w:lang w:val="en-GB"/>
        </w:rPr>
        <w:t>explanation</w:t>
      </w:r>
      <w:proofErr w:type="gramEnd"/>
      <w:r w:rsidRPr="00FA6C41">
        <w:rPr>
          <w:lang w:val="en-GB"/>
        </w:rPr>
        <w:t xml:space="preserve"> of major variances between the actual amounts presented in the financial statements and the corresponding original budgeted amounts for departmental and administered items; and </w:t>
      </w:r>
    </w:p>
    <w:p w:rsidR="00FA6C41" w:rsidRPr="00FA6C41" w:rsidRDefault="00FA6C41" w:rsidP="00FA6C41">
      <w:pPr>
        <w:pStyle w:val="ListBullet"/>
        <w:rPr>
          <w:lang w:val="en-GB"/>
        </w:rPr>
      </w:pPr>
      <w:proofErr w:type="gramStart"/>
      <w:r w:rsidRPr="00FA6C41">
        <w:rPr>
          <w:lang w:val="en-GB"/>
        </w:rPr>
        <w:t>disclosure</w:t>
      </w:r>
      <w:proofErr w:type="gramEnd"/>
      <w:r w:rsidRPr="00FA6C41">
        <w:rPr>
          <w:lang w:val="en-GB"/>
        </w:rPr>
        <w:t xml:space="preserve"> of the budgeted information on the same presentation and classification bases adopted in the financial statements for departmental and administered items.</w:t>
      </w:r>
    </w:p>
    <w:p w:rsidR="00FA6C41" w:rsidRPr="00FA6C41" w:rsidRDefault="00FA6C41" w:rsidP="00D40F94">
      <w:pPr>
        <w:pStyle w:val="bodytext"/>
      </w:pPr>
      <w:r w:rsidRPr="00FA6C41">
        <w:t>The explanations of major variances required to be disclosed are those relevant to an assessment of the discharge of accountability and to the analysis of PSR’s performance. They include high-level explanations of the cause of major variances rather than merely the nature of the variance.</w:t>
      </w:r>
    </w:p>
    <w:p w:rsidR="00FA6C41" w:rsidRPr="00FA6C41" w:rsidRDefault="00FA6C41" w:rsidP="00D40F94">
      <w:pPr>
        <w:pStyle w:val="bodytext"/>
      </w:pPr>
      <w:r w:rsidRPr="00FA6C41">
        <w:t xml:space="preserve">Any revised budget that is presented to parliament during the reporting period may be disclosed in the financial statements in addition to the original budget and might need to be referred to in explanations of major variances. </w:t>
      </w:r>
    </w:p>
    <w:p w:rsidR="00FA6C41" w:rsidRPr="00FA6C41" w:rsidRDefault="00FA6C41" w:rsidP="00D40F94">
      <w:pPr>
        <w:pStyle w:val="bodytext"/>
      </w:pPr>
      <w:r w:rsidRPr="00FA6C41">
        <w:t>If the disclosure of budgeted financial statement is not consistent with the presentation and classification bases adopted in the financial statements of controlled and administered items, the budgeted statements are restated for disclosure purposes to align with presentation and classification bases in the financial statements.</w:t>
      </w:r>
    </w:p>
    <w:p w:rsidR="00FA6C41" w:rsidRPr="00FA6C41" w:rsidRDefault="00FA6C41" w:rsidP="00223AA9">
      <w:pPr>
        <w:pStyle w:val="Heading3"/>
        <w:rPr>
          <w:rFonts w:ascii="SamoSansPro-Light" w:hAnsi="SamoSansPro-Light" w:cs="SamoSansPro-Light"/>
          <w:color w:val="000000"/>
          <w:sz w:val="19"/>
          <w:szCs w:val="19"/>
          <w:lang w:val="en-GB"/>
        </w:rPr>
      </w:pPr>
      <w:bookmarkStart w:id="252" w:name="_Toc275439520"/>
      <w:bookmarkStart w:id="253" w:name="_Toc276039616"/>
      <w:bookmarkStart w:id="254" w:name="_Toc276039981"/>
      <w:bookmarkStart w:id="255" w:name="_Toc276040223"/>
      <w:r w:rsidRPr="00FA6C41">
        <w:rPr>
          <w:lang w:val="en-GB"/>
        </w:rPr>
        <w:t>1.5 Revenue</w:t>
      </w:r>
      <w:bookmarkEnd w:id="252"/>
      <w:bookmarkEnd w:id="253"/>
      <w:bookmarkEnd w:id="254"/>
      <w:bookmarkEnd w:id="255"/>
    </w:p>
    <w:p w:rsidR="00FA6C41" w:rsidRPr="00FA6C41" w:rsidRDefault="00FA6C41" w:rsidP="00D40F94">
      <w:pPr>
        <w:pStyle w:val="bodytext"/>
      </w:pPr>
      <w:r w:rsidRPr="00FA6C41">
        <w:t>Revenue from the sale of goods is recognised when:</w:t>
      </w:r>
    </w:p>
    <w:p w:rsidR="00FA6C41" w:rsidRPr="00FA6C41" w:rsidRDefault="00FA6C41" w:rsidP="00FA6C41">
      <w:pPr>
        <w:pStyle w:val="ListBullet"/>
        <w:rPr>
          <w:lang w:val="en-GB"/>
        </w:rPr>
      </w:pPr>
      <w:proofErr w:type="gramStart"/>
      <w:r w:rsidRPr="00FA6C41">
        <w:rPr>
          <w:lang w:val="en-GB"/>
        </w:rPr>
        <w:t>the</w:t>
      </w:r>
      <w:proofErr w:type="gramEnd"/>
      <w:r w:rsidRPr="00FA6C41">
        <w:rPr>
          <w:lang w:val="en-GB"/>
        </w:rPr>
        <w:t xml:space="preserve"> risks and rewards of ownership have been transferred to the buyer;</w:t>
      </w:r>
    </w:p>
    <w:p w:rsidR="00FA6C41" w:rsidRPr="00FA6C41" w:rsidRDefault="00FA6C41" w:rsidP="00FA6C41">
      <w:pPr>
        <w:pStyle w:val="ListBullet"/>
        <w:rPr>
          <w:lang w:val="en-GB"/>
        </w:rPr>
      </w:pPr>
      <w:proofErr w:type="gramStart"/>
      <w:r w:rsidRPr="00FA6C41">
        <w:rPr>
          <w:lang w:val="en-GB"/>
        </w:rPr>
        <w:t>the</w:t>
      </w:r>
      <w:proofErr w:type="gramEnd"/>
      <w:r w:rsidRPr="00FA6C41">
        <w:rPr>
          <w:lang w:val="en-GB"/>
        </w:rPr>
        <w:t xml:space="preserve"> entity retains no managerial involvement or effective control over the goods;</w:t>
      </w:r>
    </w:p>
    <w:p w:rsidR="00FA6C41" w:rsidRPr="00FA6C41" w:rsidRDefault="00FA6C41" w:rsidP="00FA6C41">
      <w:pPr>
        <w:pStyle w:val="ListBullet"/>
        <w:rPr>
          <w:lang w:val="en-GB"/>
        </w:rPr>
      </w:pPr>
      <w:proofErr w:type="gramStart"/>
      <w:r w:rsidRPr="00FA6C41">
        <w:rPr>
          <w:lang w:val="en-GB"/>
        </w:rPr>
        <w:t>the</w:t>
      </w:r>
      <w:proofErr w:type="gramEnd"/>
      <w:r w:rsidRPr="00FA6C41">
        <w:rPr>
          <w:lang w:val="en-GB"/>
        </w:rPr>
        <w:t xml:space="preserve"> revenue and transaction costs incurred can be reliably measured; and</w:t>
      </w:r>
    </w:p>
    <w:p w:rsidR="00FA6C41" w:rsidRPr="00FA6C41" w:rsidRDefault="00FA6C41" w:rsidP="00FA6C41">
      <w:pPr>
        <w:pStyle w:val="ListBullet"/>
        <w:rPr>
          <w:lang w:val="en-GB"/>
        </w:rPr>
      </w:pPr>
      <w:proofErr w:type="gramStart"/>
      <w:r w:rsidRPr="00FA6C41">
        <w:rPr>
          <w:lang w:val="en-GB"/>
        </w:rPr>
        <w:t>it</w:t>
      </w:r>
      <w:proofErr w:type="gramEnd"/>
      <w:r w:rsidRPr="00FA6C41">
        <w:rPr>
          <w:lang w:val="en-GB"/>
        </w:rPr>
        <w:t xml:space="preserve"> is probable that the economic benefits associated with the transaction will flow to the entity.</w:t>
      </w:r>
      <w:r w:rsidRPr="00FA6C41">
        <w:rPr>
          <w:lang w:val="en-GB"/>
        </w:rPr>
        <w:tab/>
      </w:r>
    </w:p>
    <w:p w:rsidR="00FA6C41" w:rsidRPr="00FA6C41" w:rsidRDefault="00FA6C41" w:rsidP="00D40F94">
      <w:pPr>
        <w:pStyle w:val="bodytext"/>
      </w:pPr>
      <w:r w:rsidRPr="00FA6C41">
        <w:t>Revenue from rendering of services is recognised by reference to the stage of completion of contracts at the reporting date.  The revenue is recognised when:</w:t>
      </w:r>
    </w:p>
    <w:p w:rsidR="00FA6C41" w:rsidRPr="00FA6C41" w:rsidRDefault="00FA6C41" w:rsidP="00FA6C41">
      <w:pPr>
        <w:pStyle w:val="ListBullet"/>
        <w:rPr>
          <w:lang w:val="en-GB"/>
        </w:rPr>
      </w:pPr>
      <w:proofErr w:type="gramStart"/>
      <w:r w:rsidRPr="00FA6C41">
        <w:rPr>
          <w:lang w:val="en-GB"/>
        </w:rPr>
        <w:t>the</w:t>
      </w:r>
      <w:proofErr w:type="gramEnd"/>
      <w:r w:rsidRPr="00FA6C41">
        <w:rPr>
          <w:lang w:val="en-GB"/>
        </w:rPr>
        <w:t xml:space="preserve"> amount of revenue, stage of completion and transaction costs incurred can be reliably measured; and</w:t>
      </w:r>
    </w:p>
    <w:p w:rsidR="00FA6C41" w:rsidRPr="00FA6C41" w:rsidRDefault="00FA6C41" w:rsidP="00FA6C41">
      <w:pPr>
        <w:pStyle w:val="ListBullet"/>
        <w:rPr>
          <w:lang w:val="en-GB"/>
        </w:rPr>
      </w:pPr>
      <w:proofErr w:type="gramStart"/>
      <w:r w:rsidRPr="00FA6C41">
        <w:rPr>
          <w:lang w:val="en-GB"/>
        </w:rPr>
        <w:t>the</w:t>
      </w:r>
      <w:proofErr w:type="gramEnd"/>
      <w:r w:rsidRPr="00FA6C41">
        <w:rPr>
          <w:lang w:val="en-GB"/>
        </w:rPr>
        <w:t xml:space="preserve"> probable economic benefits associated with the transaction will flow to the entity. </w:t>
      </w:r>
      <w:r w:rsidRPr="00FA6C41">
        <w:rPr>
          <w:lang w:val="en-GB"/>
        </w:rPr>
        <w:tab/>
      </w:r>
    </w:p>
    <w:p w:rsidR="00FA6C41" w:rsidRPr="00FA6C41" w:rsidRDefault="00FA6C41" w:rsidP="00D40F94">
      <w:pPr>
        <w:pStyle w:val="bodytext"/>
      </w:pPr>
      <w:r w:rsidRPr="00FA6C41">
        <w:t>The stage of completion of contracts at the reporting date is determined by reference to the proportion that costs incurred to date bear to the estimated total costs of the transaction.</w:t>
      </w:r>
      <w:r w:rsidRPr="00FA6C41">
        <w:tab/>
      </w:r>
    </w:p>
    <w:p w:rsidR="00FA6C41" w:rsidRPr="00FA6C41" w:rsidRDefault="00FA6C41" w:rsidP="00D40F94">
      <w:pPr>
        <w:pStyle w:val="bodytext"/>
      </w:pPr>
      <w:r w:rsidRPr="00FA6C41">
        <w:t xml:space="preserve">Receivables for goods and services, which have </w:t>
      </w:r>
      <w:proofErr w:type="gramStart"/>
      <w:r w:rsidRPr="00FA6C41">
        <w:t>30 day</w:t>
      </w:r>
      <w:proofErr w:type="gramEnd"/>
      <w:r w:rsidRPr="00FA6C41">
        <w:t xml:space="preserve"> terms, are recognised at the nominal amounts due less any impairment allowance account.  Collectability of debts is reviewed at the end of the reporting period. Allowances are made when collectability of the debt is no longer probable.</w:t>
      </w:r>
      <w:r w:rsidRPr="00FA6C41">
        <w:tab/>
      </w:r>
    </w:p>
    <w:p w:rsidR="00FA6C41" w:rsidRPr="00FA6C41" w:rsidRDefault="00FA6C41" w:rsidP="00223AA9">
      <w:pPr>
        <w:pStyle w:val="Heading41"/>
      </w:pPr>
      <w:r w:rsidRPr="00FA6C41">
        <w:t xml:space="preserve">Revenue from Government </w:t>
      </w:r>
    </w:p>
    <w:p w:rsidR="00FA6C41" w:rsidRPr="00FA6C41" w:rsidRDefault="00FA6C41" w:rsidP="00D40F94">
      <w:pPr>
        <w:pStyle w:val="bodytext"/>
      </w:pPr>
      <w:r w:rsidRPr="00FA6C41">
        <w:t>Amounts appropriated for departmental appropriations for 2013-14 (adjusted for any formal additions and reductions) are recognised as Revenue from Government when the entity gains control of the appropriation, except for certain amounts that relate to activities that are reciprocal in nature, in which case revenue is recognised only when it has been earned.  Appropriations receivable are recognised at their nominal amounts.</w:t>
      </w:r>
    </w:p>
    <w:p w:rsidR="00FA6C41" w:rsidRPr="00FA6C41" w:rsidRDefault="00FA6C41" w:rsidP="00223AA9">
      <w:pPr>
        <w:pStyle w:val="Heading3"/>
        <w:rPr>
          <w:rFonts w:ascii="SamoSansPro-Light" w:hAnsi="SamoSansPro-Light" w:cs="SamoSansPro-Light"/>
          <w:color w:val="000000"/>
          <w:sz w:val="19"/>
          <w:szCs w:val="19"/>
          <w:lang w:val="en-GB"/>
        </w:rPr>
      </w:pPr>
      <w:bookmarkStart w:id="256" w:name="_Toc275439521"/>
      <w:bookmarkStart w:id="257" w:name="_Toc276039617"/>
      <w:bookmarkStart w:id="258" w:name="_Toc276039982"/>
      <w:bookmarkStart w:id="259" w:name="_Toc276040224"/>
      <w:r w:rsidRPr="00FA6C41">
        <w:rPr>
          <w:lang w:val="en-GB"/>
        </w:rPr>
        <w:t>1.6 Gains</w:t>
      </w:r>
      <w:bookmarkEnd w:id="256"/>
      <w:bookmarkEnd w:id="257"/>
      <w:bookmarkEnd w:id="258"/>
      <w:bookmarkEnd w:id="259"/>
    </w:p>
    <w:p w:rsidR="00FA6C41" w:rsidRPr="00FA6C41" w:rsidRDefault="00FA6C41" w:rsidP="00223AA9">
      <w:pPr>
        <w:pStyle w:val="Heading41"/>
      </w:pPr>
      <w:r w:rsidRPr="00FA6C41">
        <w:t>Resources Received Free of Charge</w:t>
      </w:r>
    </w:p>
    <w:p w:rsidR="00FA6C41" w:rsidRPr="00FA6C41" w:rsidRDefault="00FA6C41" w:rsidP="00D40F94">
      <w:pPr>
        <w:pStyle w:val="bodytext"/>
      </w:pPr>
      <w:r w:rsidRPr="00FA6C41">
        <w:t>Resources received free of charge are recognised as gains when, and only when, a fair value can be reliably determined and the services would have been purchased if they had not been donated.  Use of those resources is recognised as an expense.</w:t>
      </w:r>
      <w:r w:rsidRPr="00FA6C41">
        <w:tab/>
      </w:r>
    </w:p>
    <w:p w:rsidR="00FA6C41" w:rsidRPr="00FA6C41" w:rsidRDefault="00FA6C41" w:rsidP="00D40F94">
      <w:pPr>
        <w:pStyle w:val="bodytext"/>
      </w:pPr>
      <w:r w:rsidRPr="00FA6C41">
        <w:t>Resources received free of charge are recorded as either revenue or gains depending on their nature.</w:t>
      </w:r>
    </w:p>
    <w:p w:rsidR="00FA6C41" w:rsidRPr="00FA6C41" w:rsidRDefault="00FA6C41" w:rsidP="00D40F94">
      <w:pPr>
        <w:pStyle w:val="bodytext"/>
      </w:pPr>
      <w:r w:rsidRPr="00FA6C41">
        <w:t>Contributions of assets at no cost of acquisition or for nominal consideration are recognised as gains at their fair value when the asset qualifies for recognition, unless received from another Government entity as a consequence of a restructuring of administrative arrangements (refer to Note 1.7).</w:t>
      </w:r>
    </w:p>
    <w:p w:rsidR="00FA6C41" w:rsidRPr="00FA6C41" w:rsidRDefault="00FA6C41" w:rsidP="00223AA9">
      <w:pPr>
        <w:pStyle w:val="Heading41"/>
      </w:pPr>
      <w:r w:rsidRPr="00FA6C41">
        <w:t>Sale of Assets</w:t>
      </w:r>
    </w:p>
    <w:p w:rsidR="00FA6C41" w:rsidRPr="00FA6C41" w:rsidRDefault="00FA6C41" w:rsidP="00D40F94">
      <w:pPr>
        <w:pStyle w:val="bodytext"/>
      </w:pPr>
      <w:r w:rsidRPr="00FA6C41">
        <w:t>Gains from disposal of assets are recognised when control of the asset has passed to the buyer.</w:t>
      </w:r>
    </w:p>
    <w:p w:rsidR="00FA6C41" w:rsidRPr="00FA6C41" w:rsidRDefault="00FA6C41" w:rsidP="00223AA9">
      <w:pPr>
        <w:pStyle w:val="Heading3"/>
        <w:rPr>
          <w:rFonts w:ascii="SamoSansPro-Light" w:hAnsi="SamoSansPro-Light" w:cs="SamoSansPro-Light"/>
          <w:color w:val="000000"/>
          <w:sz w:val="19"/>
          <w:szCs w:val="19"/>
          <w:lang w:val="en-GB"/>
        </w:rPr>
      </w:pPr>
      <w:bookmarkStart w:id="260" w:name="_Toc275439522"/>
      <w:bookmarkStart w:id="261" w:name="_Toc276039618"/>
      <w:bookmarkStart w:id="262" w:name="_Toc276039983"/>
      <w:bookmarkStart w:id="263" w:name="_Toc276040225"/>
      <w:r w:rsidRPr="00FA6C41">
        <w:rPr>
          <w:lang w:val="en-GB"/>
        </w:rPr>
        <w:t>1.7 Transactions with the Government as Owner</w:t>
      </w:r>
      <w:bookmarkEnd w:id="260"/>
      <w:bookmarkEnd w:id="261"/>
      <w:bookmarkEnd w:id="262"/>
      <w:bookmarkEnd w:id="263"/>
    </w:p>
    <w:p w:rsidR="00FA6C41" w:rsidRPr="00FA6C41" w:rsidRDefault="00FA6C41" w:rsidP="00FA6C41">
      <w:pPr>
        <w:widowControl w:val="0"/>
        <w:suppressAutoHyphens/>
        <w:autoSpaceDE w:val="0"/>
        <w:autoSpaceDN w:val="0"/>
        <w:adjustRightInd w:val="0"/>
        <w:spacing w:before="113" w:line="260" w:lineRule="atLeast"/>
        <w:textAlignment w:val="center"/>
        <w:rPr>
          <w:rFonts w:ascii="SamoSansPro-MediumItalic" w:hAnsi="SamoSansPro-MediumItalic" w:cs="SamoSansPro-MediumItalic"/>
          <w:i/>
          <w:iCs/>
          <w:color w:val="000000"/>
          <w:sz w:val="19"/>
          <w:szCs w:val="19"/>
          <w:lang w:val="en-GB"/>
        </w:rPr>
      </w:pPr>
      <w:r w:rsidRPr="00FA6C41">
        <w:rPr>
          <w:rFonts w:ascii="SamoSansPro-MediumItalic" w:hAnsi="SamoSansPro-MediumItalic" w:cs="SamoSansPro-MediumItalic"/>
          <w:i/>
          <w:iCs/>
          <w:color w:val="000000"/>
          <w:sz w:val="19"/>
          <w:szCs w:val="19"/>
          <w:lang w:val="en-GB"/>
        </w:rPr>
        <w:t xml:space="preserve">Equity Injections </w:t>
      </w:r>
    </w:p>
    <w:p w:rsidR="00FA6C41" w:rsidRPr="00FA6C41" w:rsidRDefault="00FA6C41" w:rsidP="00D40F94">
      <w:pPr>
        <w:pStyle w:val="bodytext"/>
      </w:pPr>
      <w:r w:rsidRPr="00FA6C41">
        <w:t>Amounts appropriated which are designated as ‘equity injections’ for a year (less any formal reductions) and Departmental Capital Budgets (DCBs) are recognised directly in contributed equity in that year.</w:t>
      </w:r>
    </w:p>
    <w:p w:rsidR="00FA6C41" w:rsidRPr="00FA6C41" w:rsidRDefault="00FA6C41" w:rsidP="00223AA9">
      <w:pPr>
        <w:pStyle w:val="Heading3"/>
        <w:rPr>
          <w:rFonts w:ascii="SamoSansPro-Light" w:hAnsi="SamoSansPro-Light" w:cs="SamoSansPro-Light"/>
          <w:color w:val="000000"/>
          <w:sz w:val="19"/>
          <w:szCs w:val="19"/>
          <w:lang w:val="en-GB"/>
        </w:rPr>
      </w:pPr>
      <w:bookmarkStart w:id="264" w:name="_Toc275439523"/>
      <w:bookmarkStart w:id="265" w:name="_Toc276039619"/>
      <w:bookmarkStart w:id="266" w:name="_Toc276039984"/>
      <w:bookmarkStart w:id="267" w:name="_Toc276040226"/>
      <w:r w:rsidRPr="00FA6C41">
        <w:rPr>
          <w:lang w:val="en-GB"/>
        </w:rPr>
        <w:t>1.8 Employee Benefits</w:t>
      </w:r>
      <w:bookmarkEnd w:id="264"/>
      <w:bookmarkEnd w:id="265"/>
      <w:bookmarkEnd w:id="266"/>
      <w:bookmarkEnd w:id="267"/>
    </w:p>
    <w:p w:rsidR="00FA6C41" w:rsidRPr="00FA6C41" w:rsidRDefault="00FA6C41" w:rsidP="00D40F94">
      <w:pPr>
        <w:pStyle w:val="bodytext"/>
      </w:pPr>
      <w:r w:rsidRPr="00FA6C41">
        <w:t xml:space="preserve">Liabilities for ‘short-term employee benefits’ (as defined in AASB 119 </w:t>
      </w:r>
      <w:r w:rsidRPr="00FA6C41">
        <w:rPr>
          <w:i/>
          <w:iCs/>
        </w:rPr>
        <w:t>Employee Benefits</w:t>
      </w:r>
      <w:r w:rsidRPr="00FA6C41">
        <w:t>) and termination benefits expected within twelve months of the end of the reporting period are measured at their nominal amounts.</w:t>
      </w:r>
      <w:r w:rsidRPr="00FA6C41">
        <w:tab/>
      </w:r>
    </w:p>
    <w:p w:rsidR="00FA6C41" w:rsidRPr="00FA6C41" w:rsidRDefault="00FA6C41" w:rsidP="00D40F94">
      <w:pPr>
        <w:pStyle w:val="bodytext"/>
      </w:pPr>
      <w:r w:rsidRPr="00FA6C41">
        <w:t xml:space="preserve">The nominal amount is calculated with regard to the rates </w:t>
      </w:r>
      <w:proofErr w:type="gramStart"/>
      <w:r w:rsidRPr="00FA6C41">
        <w:t>expected to be paid</w:t>
      </w:r>
      <w:proofErr w:type="gramEnd"/>
      <w:r w:rsidRPr="00FA6C41">
        <w:t xml:space="preserve"> </w:t>
      </w:r>
      <w:r w:rsidR="00223AA9">
        <w:t>on settlement of the liability.</w:t>
      </w:r>
    </w:p>
    <w:p w:rsidR="00FA6C41" w:rsidRPr="00FA6C41" w:rsidRDefault="00FA6C41" w:rsidP="00D40F94">
      <w:pPr>
        <w:pStyle w:val="bodytext"/>
      </w:pPr>
      <w:r w:rsidRPr="00FA6C41">
        <w:t xml:space="preserve">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 </w:t>
      </w:r>
    </w:p>
    <w:p w:rsidR="00FA6C41" w:rsidRPr="00FA6C41" w:rsidRDefault="00FA6C41" w:rsidP="00223AA9">
      <w:pPr>
        <w:pStyle w:val="Heading41"/>
      </w:pPr>
      <w:r w:rsidRPr="00FA6C41">
        <w:t>Leave</w:t>
      </w:r>
    </w:p>
    <w:p w:rsidR="00FA6C41" w:rsidRPr="00FA6C41" w:rsidRDefault="00FA6C41" w:rsidP="00D40F94">
      <w:pPr>
        <w:pStyle w:val="bodytext"/>
      </w:pPr>
      <w:r w:rsidRPr="00FA6C41">
        <w:t>The liability for employee benefits includes provision for annual leave and long service leave.  No provision has been made for sick leave as all sick leaves is non-vesting and the average sick leave taken in future years by employees of PSR is estimated to be less than the annual entitlement for sick leave.</w:t>
      </w:r>
      <w:r w:rsidRPr="00FA6C41">
        <w:tab/>
      </w:r>
      <w:r w:rsidRPr="00FA6C41">
        <w:tab/>
      </w:r>
    </w:p>
    <w:p w:rsidR="00FA6C41" w:rsidRPr="00FA6C41" w:rsidRDefault="00FA6C41" w:rsidP="00D40F94">
      <w:pPr>
        <w:pStyle w:val="bodytext"/>
      </w:pPr>
      <w:r w:rsidRPr="00FA6C41">
        <w:t>The leave liabilities are calculated on the basis of employees’ remuneration at the estimated salary rates that will be applied at the time the leave is taken, including PSR employer superannuation contribution rates to the extent that the leave is likely to be taken during service rather than paid out on termination.</w:t>
      </w:r>
      <w:r w:rsidRPr="00FA6C41">
        <w:tab/>
      </w:r>
    </w:p>
    <w:p w:rsidR="00FA6C41" w:rsidRPr="00223AA9" w:rsidRDefault="00FA6C41" w:rsidP="00D40F94">
      <w:pPr>
        <w:pStyle w:val="bodytext"/>
      </w:pPr>
      <w:r w:rsidRPr="00FA6C41">
        <w:t>The long term leave liability for long service leave is recognised and measured at the present value of the estimated future cash flows to be made in respect of all employees as at 30 June 2014. The estimate of the present value of the liability takes into account attrition rates and pay increases through promotion and inflation.</w:t>
      </w:r>
      <w:r w:rsidRPr="00FA6C41">
        <w:tab/>
      </w:r>
    </w:p>
    <w:p w:rsidR="00FA6C41" w:rsidRPr="00FA6C41" w:rsidRDefault="00FA6C41" w:rsidP="00223AA9">
      <w:pPr>
        <w:pStyle w:val="Heading41"/>
      </w:pPr>
      <w:r w:rsidRPr="00FA6C41">
        <w:t>Separation and Redundancy</w:t>
      </w:r>
    </w:p>
    <w:p w:rsidR="00FA6C41" w:rsidRPr="00FA6C41" w:rsidRDefault="00FA6C41" w:rsidP="00D40F94">
      <w:pPr>
        <w:pStyle w:val="bodytext"/>
      </w:pPr>
      <w:r w:rsidRPr="00FA6C41">
        <w:t>Provision is made for separation and redundancy benefit payments.  The entity recognises a provision for termination when it has developed a detailed formal plan for the terminations and has informed those employees affected that it will carry out the terminations.</w:t>
      </w:r>
    </w:p>
    <w:p w:rsidR="00FA6C41" w:rsidRPr="00FA6C41" w:rsidRDefault="00FA6C41" w:rsidP="00223AA9">
      <w:pPr>
        <w:pStyle w:val="Heading41"/>
      </w:pPr>
      <w:r w:rsidRPr="00FA6C41">
        <w:t>Superannuation</w:t>
      </w:r>
    </w:p>
    <w:p w:rsidR="00FA6C41" w:rsidRPr="00FA6C41" w:rsidRDefault="00FA6C41" w:rsidP="00D40F94">
      <w:pPr>
        <w:pStyle w:val="bodytext"/>
      </w:pPr>
      <w:r w:rsidRPr="00FA6C41">
        <w:t xml:space="preserve">PSR’s </w:t>
      </w:r>
      <w:proofErr w:type="gramStart"/>
      <w:r w:rsidRPr="00FA6C41">
        <w:t>staff are</w:t>
      </w:r>
      <w:proofErr w:type="gramEnd"/>
      <w:r w:rsidRPr="00FA6C41">
        <w:t xml:space="preserve"> members of the Commonwealth Superannuation Scheme (CSS), the Public Sector Superannuation Scheme (PSS) or the PSS accumulation plan (PSSap).</w:t>
      </w:r>
    </w:p>
    <w:p w:rsidR="00FA6C41" w:rsidRPr="00FA6C41" w:rsidRDefault="00FA6C41" w:rsidP="00D40F94">
      <w:pPr>
        <w:pStyle w:val="bodytext"/>
      </w:pPr>
      <w:r w:rsidRPr="00FA6C41">
        <w:t>The CSS and PSS are defined benefit schemes for the Australian Government.  The PSSap is a defined contribution scheme.</w:t>
      </w:r>
      <w:r w:rsidRPr="00FA6C41">
        <w:tab/>
      </w:r>
    </w:p>
    <w:p w:rsidR="00FA6C41" w:rsidRPr="00FA6C41" w:rsidRDefault="00FA6C41" w:rsidP="00D40F94">
      <w:pPr>
        <w:pStyle w:val="bodytext"/>
      </w:pPr>
      <w:r w:rsidRPr="00FA6C41">
        <w:t>The liability for defined benefits is recognised in the financial statements of the Australian Government and is settled by the Australian Government in due course. This liability is reported in the Department of Finance administered schedules and notes.</w:t>
      </w:r>
      <w:r w:rsidRPr="00FA6C41">
        <w:tab/>
      </w:r>
    </w:p>
    <w:p w:rsidR="00FA6C41" w:rsidRPr="00FA6C41" w:rsidRDefault="00FA6C41" w:rsidP="00D40F94">
      <w:pPr>
        <w:pStyle w:val="bodytext"/>
      </w:pPr>
      <w:r w:rsidRPr="00FA6C41">
        <w:t>PSR makes employer contributions to the employees’ superannuation scheme at rates determined by an actuary to be sufficient to meet the current cost to the Government. PSR accounts for the contributions as if they were contributions to defined contribution plans.</w:t>
      </w:r>
      <w:r w:rsidRPr="00FA6C41">
        <w:tab/>
      </w:r>
    </w:p>
    <w:p w:rsidR="00FA6C41" w:rsidRPr="00FA6C41" w:rsidRDefault="00FA6C41" w:rsidP="00D40F94">
      <w:pPr>
        <w:pStyle w:val="bodytext"/>
      </w:pPr>
      <w:r w:rsidRPr="00FA6C41">
        <w:t>The liability for superannuation recognised as at 30 June represents outstanding contributions for the final fortnight of the year.</w:t>
      </w:r>
      <w:r w:rsidRPr="00FA6C41">
        <w:tab/>
      </w:r>
    </w:p>
    <w:p w:rsidR="00FA6C41" w:rsidRPr="00FA6C41" w:rsidRDefault="00FA6C41" w:rsidP="00223AA9">
      <w:pPr>
        <w:pStyle w:val="Heading3"/>
        <w:rPr>
          <w:rFonts w:ascii="SamoSansPro-Light" w:hAnsi="SamoSansPro-Light" w:cs="SamoSansPro-Light"/>
          <w:color w:val="000000"/>
          <w:sz w:val="19"/>
          <w:szCs w:val="19"/>
          <w:lang w:val="en-GB"/>
        </w:rPr>
      </w:pPr>
      <w:bookmarkStart w:id="268" w:name="_Toc275439524"/>
      <w:bookmarkStart w:id="269" w:name="_Toc276039620"/>
      <w:bookmarkStart w:id="270" w:name="_Toc276039985"/>
      <w:bookmarkStart w:id="271" w:name="_Toc276040227"/>
      <w:r w:rsidRPr="00FA6C41">
        <w:rPr>
          <w:lang w:val="en-GB"/>
        </w:rPr>
        <w:t>1.9 Leases</w:t>
      </w:r>
      <w:bookmarkEnd w:id="268"/>
      <w:bookmarkEnd w:id="269"/>
      <w:bookmarkEnd w:id="270"/>
      <w:bookmarkEnd w:id="271"/>
    </w:p>
    <w:p w:rsidR="00FA6C41" w:rsidRPr="00FA6C41" w:rsidRDefault="00FA6C41" w:rsidP="00D40F94">
      <w:pPr>
        <w:pStyle w:val="bodytext"/>
      </w:pPr>
      <w:r w:rsidRPr="00FA6C41">
        <w:t xml:space="preserve">A distinction is made between finance leases and operating leases.  Finance leases effectively transfer from the lessor to the lessee substantially </w:t>
      </w:r>
      <w:proofErr w:type="gramStart"/>
      <w:r w:rsidRPr="00FA6C41">
        <w:t>all the</w:t>
      </w:r>
      <w:proofErr w:type="gramEnd"/>
      <w:r w:rsidRPr="00FA6C41">
        <w:t xml:space="preserve"> risks and rewards incidental to ownership of leased assets.  An operating lease is a lease that is not a finance lease.  In operating leases, the lessor effectively retains substantially all such risks and benefits.</w:t>
      </w:r>
      <w:r w:rsidRPr="00FA6C41">
        <w:tab/>
      </w:r>
    </w:p>
    <w:p w:rsidR="00FA6C41" w:rsidRPr="00FA6C41" w:rsidRDefault="00FA6C41" w:rsidP="00D40F94">
      <w:pPr>
        <w:pStyle w:val="bodytext"/>
      </w:pPr>
      <w:r w:rsidRPr="00FA6C41">
        <w:t xml:space="preserve">Operating lease payments are expensed on a straight-line </w:t>
      </w:r>
      <w:proofErr w:type="gramStart"/>
      <w:r w:rsidRPr="00FA6C41">
        <w:t>basis which</w:t>
      </w:r>
      <w:proofErr w:type="gramEnd"/>
      <w:r w:rsidRPr="00FA6C41">
        <w:t xml:space="preserve"> is representative of the pattern of benefits derived from the leased assets.</w:t>
      </w:r>
    </w:p>
    <w:p w:rsidR="00FA6C41" w:rsidRPr="00FA6C41" w:rsidRDefault="00FA6C41" w:rsidP="00223AA9">
      <w:pPr>
        <w:pStyle w:val="Heading3"/>
        <w:rPr>
          <w:rFonts w:ascii="SamoSansPro-Light" w:hAnsi="SamoSansPro-Light" w:cs="SamoSansPro-Light"/>
          <w:color w:val="000000"/>
          <w:sz w:val="19"/>
          <w:szCs w:val="19"/>
          <w:lang w:val="en-GB"/>
        </w:rPr>
      </w:pPr>
      <w:bookmarkStart w:id="272" w:name="_Toc275439525"/>
      <w:bookmarkStart w:id="273" w:name="_Toc276039621"/>
      <w:bookmarkStart w:id="274" w:name="_Toc276039986"/>
      <w:bookmarkStart w:id="275" w:name="_Toc276040228"/>
      <w:r w:rsidRPr="00FA6C41">
        <w:rPr>
          <w:lang w:val="en-GB"/>
        </w:rPr>
        <w:t>1.10 Borrowing Costs</w:t>
      </w:r>
      <w:bookmarkEnd w:id="272"/>
      <w:bookmarkEnd w:id="273"/>
      <w:bookmarkEnd w:id="274"/>
      <w:bookmarkEnd w:id="275"/>
    </w:p>
    <w:p w:rsidR="00FA6C41" w:rsidRPr="00FA6C41" w:rsidRDefault="00FA6C41" w:rsidP="00D40F94">
      <w:pPr>
        <w:pStyle w:val="bodytext"/>
      </w:pPr>
      <w:r w:rsidRPr="00FA6C41">
        <w:t xml:space="preserve">All borrowing costs are expensed as incurred. </w:t>
      </w:r>
    </w:p>
    <w:p w:rsidR="00FA6C41" w:rsidRPr="00FA6C41" w:rsidRDefault="00FA6C41" w:rsidP="00223AA9">
      <w:pPr>
        <w:pStyle w:val="Heading3"/>
        <w:rPr>
          <w:rFonts w:ascii="SamoSansPro-Light" w:hAnsi="SamoSansPro-Light" w:cs="SamoSansPro-Light"/>
          <w:color w:val="000000"/>
          <w:sz w:val="19"/>
          <w:szCs w:val="19"/>
          <w:lang w:val="en-GB"/>
        </w:rPr>
      </w:pPr>
      <w:bookmarkStart w:id="276" w:name="_Toc275439526"/>
      <w:bookmarkStart w:id="277" w:name="_Toc276039622"/>
      <w:bookmarkStart w:id="278" w:name="_Toc276039987"/>
      <w:bookmarkStart w:id="279" w:name="_Toc276040229"/>
      <w:r w:rsidRPr="00FA6C41">
        <w:rPr>
          <w:lang w:val="en-GB"/>
        </w:rPr>
        <w:t>1.11 Fair Value Measurement</w:t>
      </w:r>
      <w:bookmarkEnd w:id="276"/>
      <w:bookmarkEnd w:id="277"/>
      <w:bookmarkEnd w:id="278"/>
      <w:bookmarkEnd w:id="279"/>
    </w:p>
    <w:p w:rsidR="00FA6C41" w:rsidRPr="00FA6C41" w:rsidRDefault="00FA6C41" w:rsidP="00D40F94">
      <w:pPr>
        <w:pStyle w:val="bodytext"/>
      </w:pPr>
      <w:r w:rsidRPr="00FA6C41">
        <w:t>PSR deems transfers between levels of the fair value hierarchy to have occurred at the end of the reporting period.</w:t>
      </w:r>
    </w:p>
    <w:p w:rsidR="00FA6C41" w:rsidRPr="00FA6C41" w:rsidRDefault="00FA6C41" w:rsidP="00223AA9">
      <w:pPr>
        <w:pStyle w:val="Heading3"/>
        <w:rPr>
          <w:rFonts w:ascii="SamoSansPro-Light" w:hAnsi="SamoSansPro-Light" w:cs="SamoSansPro-Light"/>
          <w:color w:val="000000"/>
          <w:sz w:val="19"/>
          <w:szCs w:val="19"/>
          <w:lang w:val="en-GB"/>
        </w:rPr>
      </w:pPr>
      <w:bookmarkStart w:id="280" w:name="_Toc275439527"/>
      <w:bookmarkStart w:id="281" w:name="_Toc276039623"/>
      <w:bookmarkStart w:id="282" w:name="_Toc276039988"/>
      <w:bookmarkStart w:id="283" w:name="_Toc276040230"/>
      <w:r w:rsidRPr="00FA6C41">
        <w:rPr>
          <w:lang w:val="en-GB"/>
        </w:rPr>
        <w:t>1.12 Cash</w:t>
      </w:r>
      <w:bookmarkEnd w:id="280"/>
      <w:bookmarkEnd w:id="281"/>
      <w:bookmarkEnd w:id="282"/>
      <w:bookmarkEnd w:id="283"/>
    </w:p>
    <w:p w:rsidR="00FA6C41" w:rsidRPr="00FA6C41" w:rsidRDefault="00FA6C41" w:rsidP="00D40F94">
      <w:pPr>
        <w:pStyle w:val="bodytext"/>
      </w:pPr>
      <w:r w:rsidRPr="00FA6C41">
        <w:t xml:space="preserve">Cash is recognised at its nominal amount. Cash and cash equivalents includes:  </w:t>
      </w:r>
    </w:p>
    <w:p w:rsidR="00FA6C41" w:rsidRPr="00FA6C41" w:rsidRDefault="00FA6C41" w:rsidP="00FA6C41">
      <w:pPr>
        <w:pStyle w:val="ListBullet"/>
        <w:rPr>
          <w:lang w:val="en-GB"/>
        </w:rPr>
      </w:pPr>
      <w:proofErr w:type="gramStart"/>
      <w:r w:rsidRPr="00FA6C41">
        <w:rPr>
          <w:lang w:val="en-GB"/>
        </w:rPr>
        <w:t>cash</w:t>
      </w:r>
      <w:proofErr w:type="gramEnd"/>
      <w:r w:rsidRPr="00FA6C41">
        <w:rPr>
          <w:lang w:val="en-GB"/>
        </w:rPr>
        <w:t xml:space="preserve"> on hand;</w:t>
      </w:r>
    </w:p>
    <w:p w:rsidR="00FA6C41" w:rsidRPr="00FA6C41" w:rsidRDefault="00FA6C41" w:rsidP="00FA6C41">
      <w:pPr>
        <w:pStyle w:val="ListBullet"/>
        <w:rPr>
          <w:lang w:val="en-GB"/>
        </w:rPr>
      </w:pPr>
      <w:proofErr w:type="gramStart"/>
      <w:r w:rsidRPr="00FA6C41">
        <w:rPr>
          <w:lang w:val="en-GB"/>
        </w:rPr>
        <w:t>demand</w:t>
      </w:r>
      <w:proofErr w:type="gramEnd"/>
      <w:r w:rsidRPr="00FA6C41">
        <w:rPr>
          <w:lang w:val="en-GB"/>
        </w:rPr>
        <w:t xml:space="preserve"> deposits in bank accounts with an original maturity of 3 months or less that are readily convertible to known amounts of cash and subject to insignificant risk of changes in value; and</w:t>
      </w:r>
    </w:p>
    <w:p w:rsidR="00FA6C41" w:rsidRPr="00FA6C41" w:rsidRDefault="00FA6C41" w:rsidP="00FA6C41">
      <w:pPr>
        <w:pStyle w:val="ListBullet"/>
        <w:rPr>
          <w:lang w:val="en-GB"/>
        </w:rPr>
      </w:pPr>
      <w:proofErr w:type="gramStart"/>
      <w:r w:rsidRPr="00FA6C41">
        <w:rPr>
          <w:lang w:val="en-GB"/>
        </w:rPr>
        <w:t>cash</w:t>
      </w:r>
      <w:proofErr w:type="gramEnd"/>
      <w:r w:rsidRPr="00FA6C41">
        <w:rPr>
          <w:lang w:val="en-GB"/>
        </w:rPr>
        <w:t xml:space="preserve"> held by outsiders. </w:t>
      </w:r>
    </w:p>
    <w:p w:rsidR="00FA6C41" w:rsidRPr="00FA6C41" w:rsidRDefault="00FA6C41" w:rsidP="00223AA9">
      <w:pPr>
        <w:pStyle w:val="Heading3"/>
        <w:rPr>
          <w:rFonts w:ascii="SamoSansPro-Light" w:hAnsi="SamoSansPro-Light" w:cs="SamoSansPro-Light"/>
          <w:color w:val="000000"/>
          <w:sz w:val="19"/>
          <w:szCs w:val="19"/>
          <w:lang w:val="en-GB"/>
        </w:rPr>
      </w:pPr>
      <w:bookmarkStart w:id="284" w:name="_Toc275439528"/>
      <w:bookmarkStart w:id="285" w:name="_Toc276039624"/>
      <w:bookmarkStart w:id="286" w:name="_Toc276039989"/>
      <w:bookmarkStart w:id="287" w:name="_Toc276040231"/>
      <w:r w:rsidRPr="00FA6C41">
        <w:rPr>
          <w:lang w:val="en-GB"/>
        </w:rPr>
        <w:t>1.13 Financial A</w:t>
      </w:r>
      <w:r w:rsidRPr="00223AA9">
        <w:t>s</w:t>
      </w:r>
      <w:r w:rsidRPr="00FA6C41">
        <w:rPr>
          <w:lang w:val="en-GB"/>
        </w:rPr>
        <w:t>sets</w:t>
      </w:r>
      <w:bookmarkEnd w:id="284"/>
      <w:bookmarkEnd w:id="285"/>
      <w:bookmarkEnd w:id="286"/>
      <w:bookmarkEnd w:id="287"/>
    </w:p>
    <w:p w:rsidR="00FA6C41" w:rsidRPr="00FA6C41" w:rsidRDefault="00FA6C41" w:rsidP="00D40F94">
      <w:pPr>
        <w:pStyle w:val="bodytext"/>
      </w:pPr>
      <w:r w:rsidRPr="00FA6C41">
        <w:t xml:space="preserve">PSR classifies its financial assets as loans and receivables. </w:t>
      </w:r>
    </w:p>
    <w:p w:rsidR="00FA6C41" w:rsidRPr="00FA6C41" w:rsidRDefault="00FA6C41" w:rsidP="00D40F94">
      <w:pPr>
        <w:pStyle w:val="bodytext"/>
      </w:pPr>
      <w:r w:rsidRPr="00FA6C41">
        <w:t>The classification depends on the nature and purpose of the financial assets and is determined at the time of initial recognition. Financial assets are recognised and derecognised upon trade date.</w:t>
      </w:r>
    </w:p>
    <w:p w:rsidR="00FA6C41" w:rsidRPr="00FA6C41" w:rsidRDefault="00FA6C41" w:rsidP="00223AA9">
      <w:pPr>
        <w:pStyle w:val="Heading41"/>
      </w:pPr>
      <w:r w:rsidRPr="00FA6C41">
        <w:t>Effective Interest Method</w:t>
      </w:r>
    </w:p>
    <w:p w:rsidR="00FA6C41" w:rsidRPr="00FA6C41" w:rsidRDefault="00FA6C41" w:rsidP="00D40F94">
      <w:pPr>
        <w:pStyle w:val="bodytext"/>
      </w:pPr>
      <w:r w:rsidRPr="00FA6C41">
        <w:t>The effective interest method is a method of calculating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FA6C41" w:rsidRPr="00FA6C41" w:rsidRDefault="00FA6C41" w:rsidP="00D40F94">
      <w:pPr>
        <w:pStyle w:val="bodytext"/>
      </w:pPr>
      <w:r w:rsidRPr="00FA6C41">
        <w:t>Income is recognised on an effective interest rate basis except for financial assets that are recognised at fair value through profit or loss.</w:t>
      </w:r>
    </w:p>
    <w:p w:rsidR="00FA6C41" w:rsidRPr="00FA6C41" w:rsidRDefault="00FA6C41" w:rsidP="00223AA9">
      <w:pPr>
        <w:pStyle w:val="Heading41"/>
      </w:pPr>
      <w:r w:rsidRPr="00FA6C41">
        <w:t>Loans and Receivables</w:t>
      </w:r>
    </w:p>
    <w:p w:rsidR="00FA6C41" w:rsidRPr="00FA6C41" w:rsidRDefault="00FA6C41" w:rsidP="00D40F94">
      <w:pPr>
        <w:pStyle w:val="bodytext"/>
      </w:pPr>
      <w:r w:rsidRPr="00FA6C41">
        <w:t>Trade receivables, loans and other receivables that have fixed or determinable payments that are not quoted in an active market are classified as ‘loans and receivables’.  Loans and receivables are measured at amortised cost using the effective interest method less impairment.  Interest is recognised by applying the effective interest rate.</w:t>
      </w:r>
    </w:p>
    <w:p w:rsidR="00FA6C41" w:rsidRPr="00FA6C41" w:rsidRDefault="00FA6C41" w:rsidP="00223AA9">
      <w:pPr>
        <w:pStyle w:val="Heading41"/>
      </w:pPr>
      <w:r w:rsidRPr="00FA6C41">
        <w:t>Impairment of Financial Assets</w:t>
      </w:r>
    </w:p>
    <w:p w:rsidR="00FA6C41" w:rsidRPr="00FA6C41" w:rsidRDefault="00FA6C41" w:rsidP="00D40F94">
      <w:pPr>
        <w:pStyle w:val="bodytext"/>
      </w:pPr>
      <w:r w:rsidRPr="00FA6C41">
        <w:t>All assets were assessed for impairment at 30 June 2014. Where indications of impairment exist, the asset’s recoverable amount is estimated and an impairment adjustment made if the asset’s recoverable amount is less than its carrying amount.</w:t>
      </w:r>
    </w:p>
    <w:p w:rsidR="00FA6C41" w:rsidRPr="00FA6C41" w:rsidRDefault="00FA6C41" w:rsidP="00D40F94">
      <w:pPr>
        <w:pStyle w:val="bodytext"/>
      </w:pPr>
      <w:r w:rsidRPr="00FA6C41">
        <w:rPr>
          <w:i/>
          <w:iCs/>
        </w:rPr>
        <w:t>Financial assets held at amortised cost</w:t>
      </w:r>
      <w:r w:rsidRPr="00FA6C41">
        <w:t xml:space="preserve"> — if there is objective evidence that an impairment loss has been incurred for loans and receivables, the amount of the loss is measure</w:t>
      </w:r>
      <w:r w:rsidRPr="00223AA9">
        <w:t>d as the difference between the asset’s carrying amount and the present value of estimated future cash flows discounted at the</w:t>
      </w:r>
      <w:r w:rsidRPr="00FA6C41">
        <w:t xml:space="preserve"> asset’s original effective interest rate. The carrying amount is reduced by way of an allowance account.  The loss is recognised in the statement of comprehensive income.</w:t>
      </w:r>
    </w:p>
    <w:p w:rsidR="00FA6C41" w:rsidRPr="00FA6C41" w:rsidRDefault="00FA6C41" w:rsidP="00223AA9">
      <w:pPr>
        <w:pStyle w:val="Heading3"/>
        <w:rPr>
          <w:rFonts w:ascii="SamoSansPro-Light" w:hAnsi="SamoSansPro-Light" w:cs="SamoSansPro-Light"/>
          <w:color w:val="000000"/>
          <w:sz w:val="19"/>
          <w:szCs w:val="19"/>
          <w:lang w:val="en-GB"/>
        </w:rPr>
      </w:pPr>
      <w:bookmarkStart w:id="288" w:name="_Toc275439529"/>
      <w:bookmarkStart w:id="289" w:name="_Toc276039625"/>
      <w:bookmarkStart w:id="290" w:name="_Toc276039990"/>
      <w:bookmarkStart w:id="291" w:name="_Toc276040232"/>
      <w:r w:rsidRPr="00FA6C41">
        <w:rPr>
          <w:lang w:val="en-GB"/>
        </w:rPr>
        <w:t>1.14 Financial Liabilities</w:t>
      </w:r>
      <w:bookmarkEnd w:id="288"/>
      <w:bookmarkEnd w:id="289"/>
      <w:bookmarkEnd w:id="290"/>
      <w:bookmarkEnd w:id="291"/>
    </w:p>
    <w:p w:rsidR="00FA6C41" w:rsidRPr="00FA6C41" w:rsidRDefault="00FA6C41" w:rsidP="00FA6C41">
      <w:pPr>
        <w:rPr>
          <w:lang w:val="en-GB"/>
        </w:rPr>
      </w:pPr>
      <w:r w:rsidRPr="00FA6C41">
        <w:rPr>
          <w:lang w:val="en-GB"/>
        </w:rPr>
        <w:t>Financial liabilities are classified as other financial liabilities. Financial liabilities are recognised and derecognised upon ‘trade date’.</w:t>
      </w:r>
    </w:p>
    <w:p w:rsidR="00FA6C41" w:rsidRPr="00FA6C41" w:rsidRDefault="00FA6C41" w:rsidP="00D40F94">
      <w:pPr>
        <w:pStyle w:val="bodytext"/>
      </w:pPr>
      <w:r w:rsidRPr="00FA6C41">
        <w:t>Other Financial Liabilities</w:t>
      </w:r>
    </w:p>
    <w:p w:rsidR="00FA6C41" w:rsidRPr="00FA6C41" w:rsidRDefault="00FA6C41" w:rsidP="00D40F94">
      <w:pPr>
        <w:pStyle w:val="bodytext"/>
      </w:pPr>
      <w:r w:rsidRPr="00FA6C41">
        <w:t xml:space="preserve">Other financial liabilities, including borrowings, are initially measured at fair value, net of transaction costs.  These liabilities are subsequently measured at amortised cost using the effective interest method, with interest expense recognised on an effective yield basis.  </w:t>
      </w:r>
    </w:p>
    <w:p w:rsidR="00FA6C41" w:rsidRPr="00FA6C41" w:rsidRDefault="00FA6C41" w:rsidP="00D40F94">
      <w:pPr>
        <w:pStyle w:val="bodytext"/>
      </w:pPr>
      <w:r w:rsidRPr="00FA6C41">
        <w:t>The effective interest method is a method of calculating the amortised cost of a financial liability and of allocating interest expense over the relevant period.  The effective interest rate is the rate that exactly discounts estimated future cash payments through the expected life of the financial liability, or, where appropriate, a shorter period.</w:t>
      </w:r>
    </w:p>
    <w:p w:rsidR="00FA6C41" w:rsidRPr="00FA6C41" w:rsidRDefault="00FA6C41" w:rsidP="00D40F94">
      <w:pPr>
        <w:pStyle w:val="bodytext"/>
      </w:pPr>
      <w:r w:rsidRPr="00FA6C41">
        <w:t>Supplier and other payables are recognised at amortised cost.  Liabilities are recognised to the extent that the goods or services have been received (and irrespective of having been invoiced).</w:t>
      </w:r>
    </w:p>
    <w:p w:rsidR="00FA6C41" w:rsidRPr="00FA6C41" w:rsidRDefault="00FA6C41" w:rsidP="00223AA9">
      <w:pPr>
        <w:pStyle w:val="Heading3"/>
        <w:rPr>
          <w:rFonts w:ascii="SamoSansPro-Light" w:hAnsi="SamoSansPro-Light" w:cs="SamoSansPro-Light"/>
          <w:color w:val="000000"/>
          <w:sz w:val="19"/>
          <w:szCs w:val="19"/>
          <w:lang w:val="en-GB"/>
        </w:rPr>
      </w:pPr>
      <w:bookmarkStart w:id="292" w:name="_Toc275439530"/>
      <w:bookmarkStart w:id="293" w:name="_Toc276039626"/>
      <w:bookmarkStart w:id="294" w:name="_Toc276039991"/>
      <w:bookmarkStart w:id="295" w:name="_Toc276040233"/>
      <w:r w:rsidRPr="00FA6C41">
        <w:rPr>
          <w:lang w:val="en-GB"/>
        </w:rPr>
        <w:t>1.15 Contingent Liabilities and Contingent Assets</w:t>
      </w:r>
      <w:bookmarkEnd w:id="292"/>
      <w:bookmarkEnd w:id="293"/>
      <w:bookmarkEnd w:id="294"/>
      <w:bookmarkEnd w:id="295"/>
    </w:p>
    <w:p w:rsidR="00FA6C41" w:rsidRPr="00FA6C41" w:rsidRDefault="00FA6C41" w:rsidP="00D40F94">
      <w:pPr>
        <w:pStyle w:val="bodytext"/>
      </w:pPr>
      <w:r w:rsidRPr="00FA6C41">
        <w:t>Contingent liabilities and contingent assets are not recognised in the statement of financial position but are reported in the relevant schedules and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rsidR="00FA6C41" w:rsidRPr="00FA6C41" w:rsidRDefault="00FA6C41" w:rsidP="00223AA9">
      <w:pPr>
        <w:pStyle w:val="Heading3"/>
        <w:rPr>
          <w:rFonts w:ascii="SamoSansPro-Light" w:hAnsi="SamoSansPro-Light" w:cs="SamoSansPro-Light"/>
          <w:color w:val="000000"/>
          <w:sz w:val="19"/>
          <w:szCs w:val="19"/>
          <w:lang w:val="en-GB"/>
        </w:rPr>
      </w:pPr>
      <w:bookmarkStart w:id="296" w:name="_Toc275439531"/>
      <w:bookmarkStart w:id="297" w:name="_Toc276039627"/>
      <w:bookmarkStart w:id="298" w:name="_Toc276039992"/>
      <w:bookmarkStart w:id="299" w:name="_Toc276040234"/>
      <w:r w:rsidRPr="00FA6C41">
        <w:rPr>
          <w:lang w:val="en-GB"/>
        </w:rPr>
        <w:t>1.16 Acquisition of Assets</w:t>
      </w:r>
      <w:bookmarkEnd w:id="296"/>
      <w:bookmarkEnd w:id="297"/>
      <w:bookmarkEnd w:id="298"/>
      <w:bookmarkEnd w:id="299"/>
    </w:p>
    <w:p w:rsidR="00FA6C41" w:rsidRPr="00FA6C41" w:rsidRDefault="00FA6C41" w:rsidP="00D40F94">
      <w:pPr>
        <w:pStyle w:val="bodytext"/>
      </w:pPr>
      <w:r w:rsidRPr="00FA6C41">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rsidR="00FA6C41" w:rsidRPr="00FA6C41" w:rsidRDefault="00FA6C41" w:rsidP="00D40F94">
      <w:pPr>
        <w:pStyle w:val="bodytext"/>
      </w:pPr>
      <w:r w:rsidRPr="00FA6C41">
        <w:t xml:space="preserve">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   </w:t>
      </w:r>
    </w:p>
    <w:p w:rsidR="00FA6C41" w:rsidRPr="00FA6C41" w:rsidRDefault="00FA6C41" w:rsidP="00223AA9">
      <w:pPr>
        <w:pStyle w:val="Heading3"/>
        <w:rPr>
          <w:rFonts w:ascii="SamoSansPro-Light" w:hAnsi="SamoSansPro-Light" w:cs="SamoSansPro-Light"/>
          <w:color w:val="000000"/>
          <w:sz w:val="19"/>
          <w:szCs w:val="19"/>
          <w:lang w:val="en-GB"/>
        </w:rPr>
      </w:pPr>
      <w:bookmarkStart w:id="300" w:name="_Toc275439532"/>
      <w:bookmarkStart w:id="301" w:name="_Toc276039628"/>
      <w:bookmarkStart w:id="302" w:name="_Toc276039993"/>
      <w:bookmarkStart w:id="303" w:name="_Toc276040235"/>
      <w:r w:rsidRPr="00FA6C41">
        <w:rPr>
          <w:lang w:val="en-GB"/>
        </w:rPr>
        <w:t>1.17   Property, Plant and Equipment</w:t>
      </w:r>
      <w:bookmarkEnd w:id="300"/>
      <w:bookmarkEnd w:id="301"/>
      <w:bookmarkEnd w:id="302"/>
      <w:bookmarkEnd w:id="303"/>
      <w:r w:rsidRPr="00FA6C41">
        <w:rPr>
          <w:lang w:val="en-GB"/>
        </w:rPr>
        <w:t xml:space="preserve"> </w:t>
      </w:r>
    </w:p>
    <w:p w:rsidR="00FA6C41" w:rsidRPr="00FA6C41" w:rsidRDefault="00FA6C41" w:rsidP="00223AA9">
      <w:pPr>
        <w:pStyle w:val="Heading41"/>
      </w:pPr>
      <w:r w:rsidRPr="00FA6C41">
        <w:t>Asset Recognition Threshold</w:t>
      </w:r>
    </w:p>
    <w:p w:rsidR="00FA6C41" w:rsidRPr="00FA6C41" w:rsidRDefault="00FA6C41" w:rsidP="00D40F94">
      <w:pPr>
        <w:pStyle w:val="bodytext"/>
      </w:pPr>
      <w:r w:rsidRPr="00FA6C41">
        <w:t>Purchases of property, plant and equipment are recognised initially at cost in the statement of financial position, except for individual purchases costing less than $1,000, which are expensed in the year of acquisition.</w:t>
      </w:r>
      <w:r w:rsidRPr="00FA6C41">
        <w:tab/>
      </w:r>
    </w:p>
    <w:p w:rsidR="00FA6C41" w:rsidRPr="00FA6C41" w:rsidRDefault="00FA6C41" w:rsidP="00D40F94">
      <w:pPr>
        <w:pStyle w:val="bodytext"/>
      </w:pPr>
      <w:r w:rsidRPr="00FA6C41">
        <w:t>The initial cost of an asset includes an estimate of the cost of dismantling and removing the item and restoring the site on which it is located.  This is particularly relevant to ‘makegood’ provisions in property leases taken up by PSR where there exists an obligation to restore the property to its original condition.  These costs are included in the value of PSR’s leasehold improvements with a corresponding provision for the ‘makegood’ recognised.</w:t>
      </w:r>
    </w:p>
    <w:p w:rsidR="00FA6C41" w:rsidRPr="00FA6C41" w:rsidRDefault="00FA6C41" w:rsidP="00223AA9">
      <w:pPr>
        <w:pStyle w:val="Heading41"/>
      </w:pPr>
      <w:r w:rsidRPr="00FA6C41">
        <w:t>Revaluations</w:t>
      </w:r>
    </w:p>
    <w:p w:rsidR="00FA6C41" w:rsidRPr="00FA6C41" w:rsidRDefault="00FA6C41" w:rsidP="00D40F94">
      <w:pPr>
        <w:pStyle w:val="bodytext"/>
      </w:pPr>
      <w:r w:rsidRPr="00FA6C41">
        <w:t xml:space="preserve">Following initial recognition at cost, property, plant and equipment were carried at fair value less subsequent accumulated depreciation and accumulated impairment losses. Valuations were conducted with sufficient frequency to ensure that the carrying amounts of assets did not differ materially from the assets’ fair values as at the reporting date.  The regularity of independent valuations depended upon the volatility of movements in market values for the relevant assets. </w:t>
      </w:r>
      <w:r w:rsidRPr="00FA6C41">
        <w:tab/>
      </w:r>
    </w:p>
    <w:p w:rsidR="00FA6C41" w:rsidRPr="00FA6C41" w:rsidRDefault="00FA6C41" w:rsidP="00D40F94">
      <w:pPr>
        <w:pStyle w:val="bodytext"/>
      </w:pPr>
      <w:r w:rsidRPr="00FA6C41">
        <w:t>Revaluation adjustments were made on a class basis.  Any revaluation increment was credited to equity under the heading of asset revaluation reserve except to the extent that it reversed a previous revaluation decrement of the same asset class that was previously recognised in the surplus/deficit.  Revaluation decrements for a class of assets were recognised directly in the surplus/deficit except to the extent that they reversed a previous revaluation increment for that class.</w:t>
      </w:r>
      <w:r w:rsidRPr="00FA6C41">
        <w:tab/>
      </w:r>
    </w:p>
    <w:p w:rsidR="00FA6C41" w:rsidRPr="00FA6C41" w:rsidRDefault="00FA6C41" w:rsidP="00D40F94">
      <w:pPr>
        <w:pStyle w:val="bodytext"/>
      </w:pPr>
      <w:r w:rsidRPr="00FA6C41">
        <w:t xml:space="preserve">Any accumulated depreciation as at the revaluation date is eliminated against the gross carrying amount of the asset and the asset restated to the revalued amount. </w:t>
      </w:r>
    </w:p>
    <w:p w:rsidR="00FA6C41" w:rsidRPr="00FA6C41" w:rsidRDefault="00FA6C41" w:rsidP="00223AA9">
      <w:pPr>
        <w:pStyle w:val="Heading41"/>
      </w:pPr>
      <w:r w:rsidRPr="00FA6C41">
        <w:t>Depreciation</w:t>
      </w:r>
    </w:p>
    <w:p w:rsidR="00FA6C41" w:rsidRPr="00FA6C41" w:rsidRDefault="00FA6C41" w:rsidP="00FA6C41">
      <w:pPr>
        <w:rPr>
          <w:lang w:val="en-GB"/>
        </w:rPr>
      </w:pPr>
      <w:r w:rsidRPr="00FA6C41">
        <w:rPr>
          <w:lang w:val="en-GB"/>
        </w:rPr>
        <w:t xml:space="preserve">Depreciable property, plant and equipment assets are written-off to their estimated residual values over their estimated useful lives to PSR using, in all cases, the straight-line method of depreciation. </w:t>
      </w:r>
      <w:r w:rsidRPr="00FA6C41">
        <w:rPr>
          <w:lang w:val="en-GB"/>
        </w:rPr>
        <w:tab/>
      </w:r>
    </w:p>
    <w:p w:rsidR="00FA6C41" w:rsidRPr="00FA6C41" w:rsidRDefault="00FA6C41" w:rsidP="00D40F94">
      <w:pPr>
        <w:pStyle w:val="bodytext"/>
      </w:pPr>
      <w:r w:rsidRPr="00FA6C41">
        <w:t>Depreciation rates (useful lives), residual values and methods are reviewed at each reporting date and necessary adjustments are recognised in the current, or current and future reporting periods, as appropriate.</w:t>
      </w:r>
      <w:r w:rsidRPr="00FA6C41">
        <w:tab/>
      </w:r>
    </w:p>
    <w:p w:rsidR="00FA6C41" w:rsidRPr="00FA6C41" w:rsidRDefault="0071096F" w:rsidP="00FA6C41">
      <w:pPr>
        <w:rPr>
          <w:lang w:val="en-GB"/>
        </w:rPr>
      </w:pPr>
      <w:r>
        <w:rPr>
          <w:lang w:val="en-GB"/>
        </w:rPr>
        <w:br w:type="page"/>
      </w:r>
      <w:r w:rsidR="00FA6C41" w:rsidRPr="00FA6C41">
        <w:rPr>
          <w:lang w:val="en-GB"/>
        </w:rPr>
        <w:t>Depreciation rates applying to each class of depreciable asset are based on the following useful lives:</w:t>
      </w:r>
      <w:r w:rsidR="00FA6C41" w:rsidRPr="00FA6C41">
        <w:rPr>
          <w:lang w:val="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312"/>
        <w:gridCol w:w="2663"/>
        <w:gridCol w:w="2661"/>
      </w:tblGrid>
      <w:tr w:rsidR="00FA6C41" w:rsidRPr="00FA6C41">
        <w:trPr>
          <w:trHeight w:val="60"/>
        </w:trPr>
        <w:tc>
          <w:tcPr>
            <w:tcW w:w="2497" w:type="pct"/>
            <w:shd w:val="clear" w:color="auto" w:fill="365F91" w:themeFill="accent1" w:themeFillShade="BF"/>
            <w:tcMar>
              <w:top w:w="85" w:type="dxa"/>
              <w:left w:w="85" w:type="dxa"/>
              <w:bottom w:w="85" w:type="dxa"/>
              <w:right w:w="85" w:type="dxa"/>
            </w:tcMar>
          </w:tcPr>
          <w:p w:rsidR="00FA6C41" w:rsidRPr="00395C65" w:rsidRDefault="00FA6C41" w:rsidP="00FA6C41">
            <w:pPr>
              <w:widowControl w:val="0"/>
              <w:autoSpaceDE w:val="0"/>
              <w:autoSpaceDN w:val="0"/>
              <w:adjustRightInd w:val="0"/>
              <w:rPr>
                <w:rFonts w:cs="Arial"/>
                <w:szCs w:val="22"/>
              </w:rPr>
            </w:pPr>
          </w:p>
        </w:tc>
        <w:tc>
          <w:tcPr>
            <w:tcW w:w="1252"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rPr>
                <w:color w:val="FFFFFF" w:themeColor="background1"/>
              </w:rPr>
            </w:pPr>
            <w:r w:rsidRPr="00D40F94">
              <w:rPr>
                <w:color w:val="FFFFFF" w:themeColor="background1"/>
              </w:rPr>
              <w:t xml:space="preserve">2014  </w:t>
            </w:r>
          </w:p>
        </w:tc>
        <w:tc>
          <w:tcPr>
            <w:tcW w:w="1251"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rPr>
                <w:color w:val="FFFFFF" w:themeColor="background1"/>
              </w:rPr>
            </w:pPr>
            <w:r w:rsidRPr="00D40F94">
              <w:rPr>
                <w:color w:val="FFFFFF" w:themeColor="background1"/>
              </w:rPr>
              <w:t>2013</w:t>
            </w:r>
          </w:p>
        </w:tc>
      </w:tr>
      <w:tr w:rsidR="00FA6C41" w:rsidRPr="00FA6C41">
        <w:trPr>
          <w:trHeight w:val="60"/>
        </w:trPr>
        <w:tc>
          <w:tcPr>
            <w:tcW w:w="2497" w:type="pct"/>
            <w:shd w:val="clear" w:color="auto" w:fill="auto"/>
            <w:tcMar>
              <w:top w:w="85" w:type="dxa"/>
              <w:left w:w="85" w:type="dxa"/>
              <w:bottom w:w="85" w:type="dxa"/>
              <w:right w:w="85" w:type="dxa"/>
            </w:tcMar>
          </w:tcPr>
          <w:p w:rsidR="00FA6C41" w:rsidRPr="00395C65" w:rsidRDefault="00FA6C41" w:rsidP="00FA6C41">
            <w:pPr>
              <w:rPr>
                <w:rFonts w:cs="Arial"/>
                <w:szCs w:val="22"/>
                <w:lang w:val="en-GB"/>
              </w:rPr>
            </w:pPr>
            <w:r w:rsidRPr="00395C65">
              <w:rPr>
                <w:rFonts w:cs="Arial"/>
                <w:szCs w:val="22"/>
                <w:lang w:val="en-GB"/>
              </w:rPr>
              <w:t xml:space="preserve">Leasehold </w:t>
            </w:r>
            <w:proofErr w:type="gramStart"/>
            <w:r w:rsidRPr="00395C65">
              <w:rPr>
                <w:rFonts w:cs="Arial"/>
                <w:szCs w:val="22"/>
                <w:lang w:val="en-GB"/>
              </w:rPr>
              <w:t xml:space="preserve">improvements                        </w:t>
            </w:r>
            <w:proofErr w:type="gramEnd"/>
          </w:p>
        </w:tc>
        <w:tc>
          <w:tcPr>
            <w:tcW w:w="1252" w:type="pct"/>
            <w:shd w:val="clear" w:color="auto" w:fill="auto"/>
            <w:tcMar>
              <w:top w:w="85" w:type="dxa"/>
              <w:left w:w="85" w:type="dxa"/>
              <w:bottom w:w="85" w:type="dxa"/>
              <w:right w:w="85" w:type="dxa"/>
            </w:tcMar>
          </w:tcPr>
          <w:p w:rsidR="00FA6C41" w:rsidRPr="00395C65" w:rsidRDefault="00FA6C41" w:rsidP="00FA6C41">
            <w:pPr>
              <w:rPr>
                <w:rFonts w:cs="Arial"/>
                <w:szCs w:val="22"/>
                <w:lang w:val="en-GB"/>
              </w:rPr>
            </w:pPr>
            <w:r w:rsidRPr="00395C65">
              <w:rPr>
                <w:rFonts w:cs="Arial"/>
                <w:szCs w:val="22"/>
                <w:lang w:val="en-GB"/>
              </w:rPr>
              <w:t xml:space="preserve">Lease </w:t>
            </w:r>
            <w:proofErr w:type="gramStart"/>
            <w:r w:rsidRPr="00395C65">
              <w:rPr>
                <w:rFonts w:cs="Arial"/>
                <w:szCs w:val="22"/>
                <w:lang w:val="en-GB"/>
              </w:rPr>
              <w:t xml:space="preserve">term         </w:t>
            </w:r>
            <w:proofErr w:type="gramEnd"/>
          </w:p>
        </w:tc>
        <w:tc>
          <w:tcPr>
            <w:tcW w:w="1251" w:type="pct"/>
            <w:shd w:val="clear" w:color="auto" w:fill="auto"/>
            <w:tcMar>
              <w:top w:w="85" w:type="dxa"/>
              <w:left w:w="85" w:type="dxa"/>
              <w:bottom w:w="85" w:type="dxa"/>
              <w:right w:w="85" w:type="dxa"/>
            </w:tcMar>
          </w:tcPr>
          <w:p w:rsidR="00FA6C41" w:rsidRPr="00395C65" w:rsidRDefault="00FA6C41" w:rsidP="00FA6C41">
            <w:pPr>
              <w:rPr>
                <w:rFonts w:cs="Arial"/>
                <w:szCs w:val="22"/>
                <w:lang w:val="en-GB"/>
              </w:rPr>
            </w:pPr>
            <w:r w:rsidRPr="00395C65">
              <w:rPr>
                <w:rFonts w:cs="Arial"/>
                <w:szCs w:val="22"/>
                <w:lang w:val="en-GB"/>
              </w:rPr>
              <w:t>Lease term</w:t>
            </w:r>
          </w:p>
        </w:tc>
      </w:tr>
      <w:tr w:rsidR="00FA6C41" w:rsidRPr="00FA6C41">
        <w:trPr>
          <w:trHeight w:val="60"/>
        </w:trPr>
        <w:tc>
          <w:tcPr>
            <w:tcW w:w="2497" w:type="pct"/>
            <w:shd w:val="clear" w:color="auto" w:fill="auto"/>
            <w:tcMar>
              <w:top w:w="85" w:type="dxa"/>
              <w:left w:w="85" w:type="dxa"/>
              <w:bottom w:w="85" w:type="dxa"/>
              <w:right w:w="85" w:type="dxa"/>
            </w:tcMar>
          </w:tcPr>
          <w:p w:rsidR="00FA6C41" w:rsidRPr="00395C65" w:rsidRDefault="00FA6C41" w:rsidP="00FA6C41">
            <w:pPr>
              <w:rPr>
                <w:rFonts w:cs="Arial"/>
                <w:szCs w:val="22"/>
                <w:lang w:val="en-GB"/>
              </w:rPr>
            </w:pPr>
            <w:r w:rsidRPr="00395C65">
              <w:rPr>
                <w:rFonts w:cs="Arial"/>
                <w:szCs w:val="22"/>
                <w:lang w:val="en-GB"/>
              </w:rPr>
              <w:t xml:space="preserve">Plant and </w:t>
            </w:r>
            <w:proofErr w:type="gramStart"/>
            <w:r w:rsidRPr="00395C65">
              <w:rPr>
                <w:rFonts w:cs="Arial"/>
                <w:szCs w:val="22"/>
                <w:lang w:val="en-GB"/>
              </w:rPr>
              <w:t xml:space="preserve">equipment                                      </w:t>
            </w:r>
            <w:proofErr w:type="gramEnd"/>
          </w:p>
        </w:tc>
        <w:tc>
          <w:tcPr>
            <w:tcW w:w="1252" w:type="pct"/>
            <w:shd w:val="clear" w:color="auto" w:fill="auto"/>
            <w:tcMar>
              <w:top w:w="85" w:type="dxa"/>
              <w:left w:w="85" w:type="dxa"/>
              <w:bottom w:w="85" w:type="dxa"/>
              <w:right w:w="85" w:type="dxa"/>
            </w:tcMar>
          </w:tcPr>
          <w:p w:rsidR="00FA6C41" w:rsidRPr="00395C65" w:rsidRDefault="00FA6C41" w:rsidP="00FA6C41">
            <w:pPr>
              <w:rPr>
                <w:rFonts w:cs="Arial"/>
                <w:szCs w:val="22"/>
                <w:lang w:val="en-GB"/>
              </w:rPr>
            </w:pPr>
            <w:r w:rsidRPr="00395C65">
              <w:rPr>
                <w:rFonts w:cs="Arial"/>
                <w:szCs w:val="22"/>
                <w:lang w:val="en-GB"/>
              </w:rPr>
              <w:t xml:space="preserve">3 to 10 </w:t>
            </w:r>
            <w:proofErr w:type="gramStart"/>
            <w:r w:rsidRPr="00395C65">
              <w:rPr>
                <w:rFonts w:cs="Arial"/>
                <w:szCs w:val="22"/>
                <w:lang w:val="en-GB"/>
              </w:rPr>
              <w:t xml:space="preserve">years    </w:t>
            </w:r>
            <w:proofErr w:type="gramEnd"/>
          </w:p>
        </w:tc>
        <w:tc>
          <w:tcPr>
            <w:tcW w:w="1251" w:type="pct"/>
            <w:shd w:val="clear" w:color="auto" w:fill="auto"/>
            <w:tcMar>
              <w:top w:w="85" w:type="dxa"/>
              <w:left w:w="85" w:type="dxa"/>
              <w:bottom w:w="85" w:type="dxa"/>
              <w:right w:w="85" w:type="dxa"/>
            </w:tcMar>
          </w:tcPr>
          <w:p w:rsidR="00FA6C41" w:rsidRPr="00395C65" w:rsidRDefault="00FA6C41" w:rsidP="00FA6C41">
            <w:pPr>
              <w:rPr>
                <w:rFonts w:cs="Arial"/>
                <w:szCs w:val="22"/>
                <w:lang w:val="en-GB"/>
              </w:rPr>
            </w:pPr>
            <w:r w:rsidRPr="00395C65">
              <w:rPr>
                <w:rFonts w:cs="Arial"/>
                <w:szCs w:val="22"/>
                <w:lang w:val="en-GB"/>
              </w:rPr>
              <w:t>3 to 10 years</w:t>
            </w:r>
          </w:p>
        </w:tc>
      </w:tr>
    </w:tbl>
    <w:p w:rsidR="00FA6C41" w:rsidRPr="00FA6C41" w:rsidRDefault="00FA6C41" w:rsidP="00FA6C41">
      <w:pPr>
        <w:widowControl w:val="0"/>
        <w:suppressAutoHyphens/>
        <w:autoSpaceDE w:val="0"/>
        <w:autoSpaceDN w:val="0"/>
        <w:adjustRightInd w:val="0"/>
        <w:spacing w:before="113" w:line="260" w:lineRule="atLeast"/>
        <w:textAlignment w:val="center"/>
        <w:rPr>
          <w:rFonts w:ascii="SamoSansPro-MediumItalic" w:hAnsi="SamoSansPro-MediumItalic" w:cs="SamoSansPro-MediumItalic"/>
          <w:i/>
          <w:iCs/>
          <w:color w:val="000000"/>
          <w:sz w:val="19"/>
          <w:szCs w:val="19"/>
          <w:lang w:val="en-GB"/>
        </w:rPr>
      </w:pPr>
    </w:p>
    <w:p w:rsidR="00FA6C41" w:rsidRPr="00FA6C41" w:rsidRDefault="00FA6C41" w:rsidP="00223AA9">
      <w:pPr>
        <w:pStyle w:val="Heading41"/>
      </w:pPr>
      <w:r w:rsidRPr="00FA6C41">
        <w:t>Impairment</w:t>
      </w:r>
    </w:p>
    <w:p w:rsidR="00FA6C41" w:rsidRPr="00FA6C41" w:rsidRDefault="00FA6C41" w:rsidP="00D40F94">
      <w:pPr>
        <w:pStyle w:val="bodytext"/>
      </w:pPr>
      <w:r w:rsidRPr="00FA6C41">
        <w:t>All assets were assessed for impairment at 30 June 2014.  Where indications of impairment exist, the asset’s recoverable amount is estimated and an impairment adjustment made if the asset’s recoverable amount is less than its carrying amount.</w:t>
      </w:r>
      <w:r w:rsidRPr="00FA6C41">
        <w:tab/>
      </w:r>
    </w:p>
    <w:p w:rsidR="00FA6C41" w:rsidRPr="00FA6C41" w:rsidRDefault="00FA6C41" w:rsidP="00D40F94">
      <w:pPr>
        <w:pStyle w:val="bodytext"/>
      </w:pPr>
      <w:r w:rsidRPr="00FA6C41">
        <w:t>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entity were deprived of the asset, its value in use is taken to be its depreciated replacement cost.</w:t>
      </w:r>
    </w:p>
    <w:p w:rsidR="00FA6C41" w:rsidRPr="00FA6C41" w:rsidRDefault="00FA6C41" w:rsidP="00223AA9">
      <w:pPr>
        <w:pStyle w:val="Heading41"/>
      </w:pPr>
      <w:r w:rsidRPr="00FA6C41">
        <w:t>Derecognition</w:t>
      </w:r>
    </w:p>
    <w:p w:rsidR="00FA6C41" w:rsidRPr="00223AA9" w:rsidRDefault="00FA6C41" w:rsidP="00D40F94">
      <w:pPr>
        <w:pStyle w:val="bodytext"/>
      </w:pPr>
      <w:r w:rsidRPr="00FA6C41">
        <w:t>An item of property, plant and equipment is derecognised upon disposal or when no further future economic benefits are expected from its use or disposal.</w:t>
      </w:r>
    </w:p>
    <w:p w:rsidR="00FA6C41" w:rsidRPr="00FA6C41" w:rsidRDefault="00FA6C41" w:rsidP="00223AA9">
      <w:pPr>
        <w:pStyle w:val="Heading3"/>
        <w:rPr>
          <w:rFonts w:ascii="SamoSansPro-Light" w:hAnsi="SamoSansPro-Light" w:cs="SamoSansPro-Light"/>
          <w:color w:val="000000"/>
          <w:sz w:val="19"/>
          <w:szCs w:val="19"/>
          <w:lang w:val="en-GB"/>
        </w:rPr>
      </w:pPr>
      <w:bookmarkStart w:id="304" w:name="_Toc275439533"/>
      <w:bookmarkStart w:id="305" w:name="_Toc276039629"/>
      <w:bookmarkStart w:id="306" w:name="_Toc276039994"/>
      <w:bookmarkStart w:id="307" w:name="_Toc276040236"/>
      <w:r w:rsidRPr="00FA6C41">
        <w:rPr>
          <w:lang w:val="en-GB"/>
        </w:rPr>
        <w:t>1.18   Intangibles</w:t>
      </w:r>
      <w:bookmarkEnd w:id="304"/>
      <w:bookmarkEnd w:id="305"/>
      <w:bookmarkEnd w:id="306"/>
      <w:bookmarkEnd w:id="307"/>
    </w:p>
    <w:p w:rsidR="00FA6C41" w:rsidRPr="00FA6C41" w:rsidRDefault="00FA6C41" w:rsidP="00D40F94">
      <w:pPr>
        <w:pStyle w:val="bodytext"/>
      </w:pPr>
      <w:r w:rsidRPr="00FA6C41">
        <w:t>PSR’s intangibles comprise of purchased and internally developed software for internal use.  These assets are carried at cost less accumulated amortisation and accumulated impairment losses.</w:t>
      </w:r>
      <w:r w:rsidRPr="00FA6C41">
        <w:tab/>
      </w:r>
    </w:p>
    <w:p w:rsidR="00FA6C41" w:rsidRPr="00FA6C41" w:rsidRDefault="00FA6C41" w:rsidP="00D40F94">
      <w:pPr>
        <w:pStyle w:val="bodytext"/>
      </w:pPr>
      <w:r w:rsidRPr="00FA6C41">
        <w:t>Software is amortised on a straight-line basis over its anticipated useful life.  The useful lives of PSR’s software are 5 to 10 years (2013: 5 to 10 years).</w:t>
      </w:r>
      <w:r w:rsidRPr="00FA6C41">
        <w:tab/>
      </w:r>
      <w:r w:rsidRPr="00FA6C41">
        <w:tab/>
      </w:r>
    </w:p>
    <w:p w:rsidR="00FA6C41" w:rsidRPr="00FA6C41" w:rsidRDefault="00FA6C41" w:rsidP="00D40F94">
      <w:pPr>
        <w:pStyle w:val="bodytext"/>
      </w:pPr>
      <w:r w:rsidRPr="00FA6C41">
        <w:t>All software assets were assessed for indications of impairment as at 30 June 2014.</w:t>
      </w:r>
    </w:p>
    <w:p w:rsidR="00FA6C41" w:rsidRPr="00FA6C41" w:rsidRDefault="00FA6C41" w:rsidP="00223AA9">
      <w:pPr>
        <w:pStyle w:val="Heading3"/>
        <w:rPr>
          <w:rFonts w:ascii="SamoSansPro-Light" w:hAnsi="SamoSansPro-Light" w:cs="SamoSansPro-Light"/>
          <w:color w:val="000000"/>
          <w:sz w:val="19"/>
          <w:szCs w:val="19"/>
          <w:lang w:val="en-GB"/>
        </w:rPr>
      </w:pPr>
      <w:bookmarkStart w:id="308" w:name="_Toc275439534"/>
      <w:bookmarkStart w:id="309" w:name="_Toc276039630"/>
      <w:bookmarkStart w:id="310" w:name="_Toc276039995"/>
      <w:bookmarkStart w:id="311" w:name="_Toc276040237"/>
      <w:r w:rsidRPr="00FA6C41">
        <w:rPr>
          <w:lang w:val="en-GB"/>
        </w:rPr>
        <w:t>1.19 Taxation / Competitive Neutrality</w:t>
      </w:r>
      <w:bookmarkEnd w:id="308"/>
      <w:bookmarkEnd w:id="309"/>
      <w:bookmarkEnd w:id="310"/>
      <w:bookmarkEnd w:id="311"/>
    </w:p>
    <w:p w:rsidR="00FA6C41" w:rsidRPr="00FA6C41" w:rsidRDefault="00FA6C41" w:rsidP="00D40F94">
      <w:pPr>
        <w:pStyle w:val="bodytext"/>
      </w:pPr>
      <w:r w:rsidRPr="00FA6C41">
        <w:t>PSR is exempt from all forms of taxation except Fringe Benefits Tax (FBT) and the Goods and Services Tax (GST).</w:t>
      </w:r>
    </w:p>
    <w:p w:rsidR="00FA6C41" w:rsidRPr="00FA6C41" w:rsidRDefault="00FA6C41" w:rsidP="00D40F94">
      <w:pPr>
        <w:pStyle w:val="bodytext"/>
      </w:pPr>
      <w:r w:rsidRPr="00FA6C41">
        <w:t>Revenues, expenses and assets are recognised net of GST except:</w:t>
      </w:r>
    </w:p>
    <w:p w:rsidR="00FA6C41" w:rsidRPr="00FA6C41" w:rsidRDefault="00FA6C41" w:rsidP="00FA6C41">
      <w:pPr>
        <w:pStyle w:val="ListBullet"/>
        <w:rPr>
          <w:lang w:val="en-GB"/>
        </w:rPr>
      </w:pPr>
      <w:proofErr w:type="gramStart"/>
      <w:r w:rsidRPr="00FA6C41">
        <w:rPr>
          <w:lang w:val="en-GB"/>
        </w:rPr>
        <w:t>where</w:t>
      </w:r>
      <w:proofErr w:type="gramEnd"/>
      <w:r w:rsidRPr="00FA6C41">
        <w:rPr>
          <w:lang w:val="en-GB"/>
        </w:rPr>
        <w:t xml:space="preserve"> the amount of GST incurred is not recoverable from the Australian Taxation Office; and</w:t>
      </w:r>
    </w:p>
    <w:p w:rsidR="00FA6C41" w:rsidRPr="00FA6C41" w:rsidRDefault="00FA6C41" w:rsidP="00FA6C41">
      <w:pPr>
        <w:pStyle w:val="ListBullet"/>
        <w:rPr>
          <w:lang w:val="en-GB"/>
        </w:rPr>
      </w:pPr>
      <w:proofErr w:type="gramStart"/>
      <w:r w:rsidRPr="00FA6C41">
        <w:rPr>
          <w:lang w:val="en-GB"/>
        </w:rPr>
        <w:t>for</w:t>
      </w:r>
      <w:proofErr w:type="gramEnd"/>
      <w:r w:rsidRPr="00FA6C41">
        <w:rPr>
          <w:lang w:val="en-GB"/>
        </w:rPr>
        <w:t xml:space="preserve"> receivables and payables.</w:t>
      </w:r>
      <w:r w:rsidRPr="00FA6C41">
        <w:rPr>
          <w:lang w:val="en-GB"/>
        </w:rPr>
        <w:tab/>
      </w:r>
    </w:p>
    <w:p w:rsidR="00FA6C41" w:rsidRPr="00FA6C41" w:rsidRDefault="00FA6C41" w:rsidP="00223AA9">
      <w:pPr>
        <w:pStyle w:val="Heading3"/>
        <w:rPr>
          <w:rFonts w:ascii="SamoSansPro-Light" w:hAnsi="SamoSansPro-Light" w:cs="SamoSansPro-Light"/>
          <w:color w:val="000000"/>
          <w:sz w:val="19"/>
          <w:szCs w:val="19"/>
          <w:lang w:val="en-GB"/>
        </w:rPr>
      </w:pPr>
      <w:bookmarkStart w:id="312" w:name="_Toc275439535"/>
      <w:bookmarkStart w:id="313" w:name="_Toc276039631"/>
      <w:bookmarkStart w:id="314" w:name="_Toc276039996"/>
      <w:bookmarkStart w:id="315" w:name="_Toc276040238"/>
      <w:r w:rsidRPr="00FA6C41">
        <w:rPr>
          <w:lang w:val="en-GB"/>
        </w:rPr>
        <w:t>1.20    Monitoring of Constitutional and other legal requirements</w:t>
      </w:r>
      <w:bookmarkEnd w:id="312"/>
      <w:bookmarkEnd w:id="313"/>
      <w:bookmarkEnd w:id="314"/>
      <w:bookmarkEnd w:id="315"/>
    </w:p>
    <w:p w:rsidR="00FA6C41" w:rsidRPr="00FA6C41" w:rsidRDefault="00FA6C41" w:rsidP="00D40F94">
      <w:pPr>
        <w:pStyle w:val="bodytext"/>
      </w:pPr>
      <w:r w:rsidRPr="00FA6C41">
        <w:t xml:space="preserve">The Australian Government continues to have regard to developments in case law, including the High Court’s most recent decision on Commonwealth expenditure in </w:t>
      </w:r>
      <w:r w:rsidRPr="00223AA9">
        <w:rPr>
          <w:i/>
        </w:rPr>
        <w:t>Williams v Commonwealth [2014] HCA 23</w:t>
      </w:r>
      <w:r w:rsidRPr="00FA6C41">
        <w:t>, as they contribute to the larger body of law relevant to the development of Commonwealth programs.  In accordance with its general practice, the Government will continue to monitor and assess risk and decide on any appropriate actions to respond to risks of expenditure not being consistent with constitutional or other legal requirements.</w:t>
      </w:r>
    </w:p>
    <w:p w:rsidR="00FA6C41" w:rsidRPr="00FA6C41" w:rsidRDefault="00223AA9" w:rsidP="00297816">
      <w:pPr>
        <w:rPr>
          <w:lang w:val="en-GB"/>
        </w:rPr>
      </w:pPr>
      <w:r>
        <w:rPr>
          <w:lang w:val="en-GB"/>
        </w:rPr>
        <w:br w:type="page"/>
      </w:r>
      <w:r w:rsidR="00FA6C41" w:rsidRPr="00FA6C41">
        <w:rPr>
          <w:lang w:val="en-GB"/>
        </w:rPr>
        <w:t>Notes to and forming part of the financ</w:t>
      </w:r>
      <w:r w:rsidR="00FA6C41" w:rsidRPr="00223AA9">
        <w:t>i</w:t>
      </w:r>
      <w:r w:rsidR="00FA6C41" w:rsidRPr="00FA6C41">
        <w:rPr>
          <w:lang w:val="en-GB"/>
        </w:rPr>
        <w:t xml:space="preserve">al statements </w:t>
      </w:r>
    </w:p>
    <w:p w:rsidR="00223AA9" w:rsidRDefault="00FA6C41" w:rsidP="00297816">
      <w:pPr>
        <w:pStyle w:val="Financialsnotehead"/>
        <w:pBdr>
          <w:bottom w:val="single" w:sz="4" w:space="1" w:color="auto"/>
        </w:pBdr>
      </w:pPr>
      <w:r w:rsidRPr="00FA6C41">
        <w:t>Note 2: Events After the Reporting period</w:t>
      </w:r>
    </w:p>
    <w:p w:rsidR="00297816" w:rsidRDefault="00297816" w:rsidP="00223AA9">
      <w:pPr>
        <w:rPr>
          <w:lang w:val="en-GB"/>
        </w:rPr>
      </w:pPr>
    </w:p>
    <w:p w:rsidR="00FA6C41" w:rsidRPr="00223AA9" w:rsidRDefault="00FA6C41" w:rsidP="00D40F94">
      <w:pPr>
        <w:pStyle w:val="bodytext"/>
        <w:rPr>
          <w:rFonts w:cs="Cambria-Bold"/>
          <w:sz w:val="32"/>
          <w:szCs w:val="26"/>
          <w:lang w:val="en-AU"/>
        </w:rPr>
      </w:pPr>
      <w:r w:rsidRPr="00FA6C41">
        <w:t xml:space="preserve">The </w:t>
      </w:r>
      <w:r w:rsidRPr="00FA6C41">
        <w:rPr>
          <w:i/>
          <w:iCs/>
        </w:rPr>
        <w:t>Public Governance, Performance and Accountability Act 2013</w:t>
      </w:r>
      <w:r w:rsidRPr="00FA6C41">
        <w:t xml:space="preserve"> (PGPA Act) commenced on </w:t>
      </w:r>
      <w:r w:rsidRPr="00FA6C41">
        <w:br/>
        <w:t xml:space="preserve">1 July 2014. Appropriation Acts prior to 1 July 2012 are no longer valid as they retain reference to the </w:t>
      </w:r>
      <w:r w:rsidRPr="00FA6C41">
        <w:rPr>
          <w:i/>
          <w:iCs/>
        </w:rPr>
        <w:t>Financial Management and Acc</w:t>
      </w:r>
      <w:r w:rsidRPr="00223AA9">
        <w:t>o</w:t>
      </w:r>
      <w:r w:rsidRPr="00FA6C41">
        <w:rPr>
          <w:i/>
          <w:iCs/>
        </w:rPr>
        <w:t>untability Act 1997</w:t>
      </w:r>
      <w:r w:rsidRPr="00FA6C41">
        <w:t xml:space="preserve"> (FMA Act) and </w:t>
      </w:r>
      <w:r w:rsidRPr="00FA6C41">
        <w:rPr>
          <w:i/>
          <w:iCs/>
        </w:rPr>
        <w:t>Commonwealth Authorities and Companies Act 1997</w:t>
      </w:r>
      <w:r w:rsidRPr="00FA6C41">
        <w:t xml:space="preserve"> (CAC Act). Therefore, Appropriation Acts prior to </w:t>
      </w:r>
      <w:r w:rsidRPr="00FA6C41">
        <w:br/>
        <w:t>1 July 2012 will no longer be available to PSR from 1 July 2014.</w:t>
      </w:r>
    </w:p>
    <w:p w:rsidR="00FA6C41" w:rsidRPr="00FA6C41" w:rsidRDefault="00FA6C41" w:rsidP="00D40F94">
      <w:pPr>
        <w:pStyle w:val="bodytext"/>
      </w:pPr>
      <w:r w:rsidRPr="00FA6C41">
        <w:t xml:space="preserve">The financial effect of the repeal is disclosed in Note 16. </w:t>
      </w:r>
      <w:r w:rsidRPr="00FA6C41">
        <w:tab/>
      </w:r>
      <w:r w:rsidRPr="00FA6C41">
        <w:tab/>
      </w:r>
      <w:r w:rsidRPr="00FA6C41">
        <w:tab/>
      </w:r>
      <w:r w:rsidRPr="00FA6C41">
        <w:tab/>
      </w:r>
    </w:p>
    <w:p w:rsidR="00BF6798" w:rsidRDefault="00FA6C41" w:rsidP="00D40F94">
      <w:pPr>
        <w:pStyle w:val="bodytext"/>
      </w:pPr>
      <w:r w:rsidRPr="00FA6C41">
        <w:t>No other events occurred after the balance date that would alter or influence PSR’s financial statements and notes.</w:t>
      </w:r>
      <w:r w:rsidRPr="00FA6C41">
        <w:tab/>
      </w:r>
    </w:p>
    <w:p w:rsidR="00214658" w:rsidRPr="00FA6C41" w:rsidRDefault="00BF6798" w:rsidP="00FA6C41">
      <w:pPr>
        <w:rPr>
          <w:lang w:val="en-GB"/>
        </w:rPr>
      </w:pPr>
      <w:r>
        <w:rPr>
          <w:lang w:val="en-GB"/>
        </w:rPr>
        <w:br w:type="page"/>
      </w:r>
    </w:p>
    <w:tbl>
      <w:tblPr>
        <w:tblW w:w="8884" w:type="dxa"/>
        <w:tblInd w:w="108" w:type="dxa"/>
        <w:tblLook w:val="04A0"/>
      </w:tblPr>
      <w:tblGrid>
        <w:gridCol w:w="5856"/>
        <w:gridCol w:w="1176"/>
        <w:gridCol w:w="271"/>
        <w:gridCol w:w="1176"/>
        <w:gridCol w:w="405"/>
      </w:tblGrid>
      <w:tr w:rsidR="00214658" w:rsidRPr="00214658">
        <w:trPr>
          <w:trHeight w:val="360"/>
        </w:trPr>
        <w:tc>
          <w:tcPr>
            <w:tcW w:w="8884" w:type="dxa"/>
            <w:gridSpan w:val="5"/>
            <w:shd w:val="clear" w:color="auto" w:fill="auto"/>
            <w:noWrap/>
            <w:vAlign w:val="center"/>
          </w:tcPr>
          <w:p w:rsidR="00214658" w:rsidRPr="00214658" w:rsidRDefault="00214658" w:rsidP="00297816">
            <w:r w:rsidRPr="00214658">
              <w:t>Notes to and forming part of the financial statements</w:t>
            </w:r>
          </w:p>
        </w:tc>
      </w:tr>
      <w:tr w:rsidR="00214658" w:rsidRPr="00214658">
        <w:trPr>
          <w:trHeight w:val="300"/>
        </w:trPr>
        <w:tc>
          <w:tcPr>
            <w:tcW w:w="8884" w:type="dxa"/>
            <w:gridSpan w:val="5"/>
            <w:tcBorders>
              <w:bottom w:val="single" w:sz="4" w:space="0" w:color="auto"/>
            </w:tcBorders>
            <w:shd w:val="clear" w:color="auto" w:fill="auto"/>
            <w:noWrap/>
          </w:tcPr>
          <w:p w:rsidR="00214658" w:rsidRPr="00214658" w:rsidRDefault="00214658" w:rsidP="00297816">
            <w:pPr>
              <w:pStyle w:val="Financialsnotehead"/>
            </w:pPr>
            <w:r w:rsidRPr="00214658">
              <w:t>Note 3: Income</w:t>
            </w:r>
          </w:p>
        </w:tc>
      </w:tr>
      <w:tr w:rsidR="00BF6798" w:rsidRPr="00BF6798">
        <w:trPr>
          <w:gridAfter w:val="1"/>
          <w:wAfter w:w="405" w:type="dxa"/>
          <w:trHeight w:val="240"/>
        </w:trPr>
        <w:tc>
          <w:tcPr>
            <w:tcW w:w="5856" w:type="dxa"/>
            <w:tcBorders>
              <w:top w:val="nil"/>
              <w:left w:val="nil"/>
              <w:right w:val="nil"/>
            </w:tcBorders>
            <w:shd w:val="clear" w:color="auto" w:fill="auto"/>
          </w:tcPr>
          <w:p w:rsidR="00BF6798" w:rsidRPr="00344BAD" w:rsidRDefault="00BF6798" w:rsidP="00297816">
            <w:pPr>
              <w:spacing w:after="0" w:line="240" w:lineRule="auto"/>
              <w:rPr>
                <w:rFonts w:eastAsia="Times New Roman" w:cs="Arial"/>
                <w:sz w:val="18"/>
                <w:szCs w:val="18"/>
                <w:lang w:val="en-AU"/>
              </w:rPr>
            </w:pPr>
          </w:p>
        </w:tc>
        <w:tc>
          <w:tcPr>
            <w:tcW w:w="1176" w:type="dxa"/>
            <w:tcBorders>
              <w:top w:val="nil"/>
              <w:left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2014 </w:t>
            </w:r>
          </w:p>
        </w:tc>
        <w:tc>
          <w:tcPr>
            <w:tcW w:w="271" w:type="dxa"/>
            <w:tcBorders>
              <w:top w:val="nil"/>
              <w:left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2013 </w:t>
            </w:r>
          </w:p>
        </w:tc>
      </w:tr>
      <w:tr w:rsidR="00BF6798" w:rsidRPr="00BF6798">
        <w:trPr>
          <w:gridAfter w:val="1"/>
          <w:wAfter w:w="405" w:type="dxa"/>
          <w:trHeight w:val="240"/>
        </w:trPr>
        <w:tc>
          <w:tcPr>
            <w:tcW w:w="5856" w:type="dxa"/>
            <w:tcBorders>
              <w:top w:val="nil"/>
              <w:left w:val="nil"/>
              <w:bottom w:val="single" w:sz="4" w:space="0" w:color="auto"/>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w:t>
            </w:r>
          </w:p>
        </w:tc>
        <w:tc>
          <w:tcPr>
            <w:tcW w:w="271" w:type="dxa"/>
            <w:tcBorders>
              <w:top w:val="nil"/>
              <w:left w:val="nil"/>
              <w:bottom w:val="single" w:sz="4" w:space="0" w:color="auto"/>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single" w:sz="4" w:space="0" w:color="auto"/>
              <w:right w:val="nil"/>
            </w:tcBorders>
            <w:shd w:val="clear" w:color="auto" w:fill="auto"/>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w:t>
            </w:r>
          </w:p>
        </w:tc>
      </w:tr>
      <w:tr w:rsidR="00BF6798" w:rsidRPr="00BF6798">
        <w:trPr>
          <w:gridAfter w:val="1"/>
          <w:wAfter w:w="405" w:type="dxa"/>
          <w:trHeight w:val="240"/>
        </w:trPr>
        <w:tc>
          <w:tcPr>
            <w:tcW w:w="5856" w:type="dxa"/>
            <w:tcBorders>
              <w:top w:val="single" w:sz="4" w:space="0" w:color="auto"/>
              <w:left w:val="nil"/>
              <w:bottom w:val="nil"/>
              <w:right w:val="nil"/>
            </w:tcBorders>
            <w:shd w:val="clear" w:color="auto" w:fill="auto"/>
          </w:tcPr>
          <w:p w:rsidR="00F4551A" w:rsidRDefault="00F4551A" w:rsidP="00BF6798">
            <w:pPr>
              <w:spacing w:after="0" w:line="240" w:lineRule="auto"/>
              <w:rPr>
                <w:rFonts w:eastAsia="Times New Roman" w:cs="Arial"/>
                <w:b/>
                <w:bCs/>
                <w:sz w:val="18"/>
                <w:szCs w:val="18"/>
                <w:u w:val="single"/>
                <w:lang w:val="en-AU"/>
              </w:rPr>
            </w:pPr>
            <w:bookmarkStart w:id="316" w:name="RANGE!D6"/>
          </w:p>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3A: Employee Benefits</w:t>
            </w:r>
            <w:bookmarkEnd w:id="316"/>
          </w:p>
        </w:tc>
        <w:tc>
          <w:tcPr>
            <w:tcW w:w="1176" w:type="dxa"/>
            <w:tcBorders>
              <w:top w:val="single" w:sz="4" w:space="0" w:color="auto"/>
              <w:left w:val="nil"/>
              <w:bottom w:val="nil"/>
              <w:right w:val="nil"/>
            </w:tcBorders>
            <w:shd w:val="clear" w:color="auto" w:fill="auto"/>
          </w:tcPr>
          <w:p w:rsidR="00BF6798" w:rsidRPr="00344BAD" w:rsidRDefault="00BF6798" w:rsidP="00BF6798">
            <w:pPr>
              <w:spacing w:after="0" w:line="240" w:lineRule="auto"/>
              <w:jc w:val="right"/>
              <w:rPr>
                <w:rFonts w:eastAsia="Times New Roman" w:cs="Arial"/>
                <w:sz w:val="18"/>
                <w:szCs w:val="18"/>
                <w:u w:val="single"/>
                <w:lang w:val="en-AU"/>
              </w:rPr>
            </w:pPr>
          </w:p>
        </w:tc>
        <w:tc>
          <w:tcPr>
            <w:tcW w:w="271" w:type="dxa"/>
            <w:tcBorders>
              <w:top w:val="single" w:sz="4" w:space="0" w:color="auto"/>
              <w:left w:val="nil"/>
              <w:bottom w:val="nil"/>
              <w:right w:val="nil"/>
            </w:tcBorders>
            <w:shd w:val="clear" w:color="auto" w:fill="auto"/>
          </w:tcPr>
          <w:p w:rsidR="00BF6798" w:rsidRPr="00344BAD" w:rsidRDefault="00BF6798" w:rsidP="00BF6798">
            <w:pPr>
              <w:spacing w:after="0" w:line="240" w:lineRule="auto"/>
              <w:jc w:val="right"/>
              <w:rPr>
                <w:rFonts w:eastAsia="Times New Roman" w:cs="Arial"/>
                <w:sz w:val="18"/>
                <w:szCs w:val="18"/>
                <w:u w:val="single"/>
                <w:lang w:val="en-AU"/>
              </w:rPr>
            </w:pPr>
          </w:p>
        </w:tc>
        <w:tc>
          <w:tcPr>
            <w:tcW w:w="1176" w:type="dxa"/>
            <w:tcBorders>
              <w:top w:val="single" w:sz="4" w:space="0" w:color="auto"/>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Wages and salaries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1,799,557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2,162,363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Superannuation:</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Defined contribution plans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171,619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207,000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Defined benefit plans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132,064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181,453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Leave and other entitlements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270,712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257,040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Separation and redundancies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21,641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employee benefits</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2,373,952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2,829,497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3B: Suppliers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Goods and services supplied or rendered</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Legal Expenses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159,558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(218,669)</w:t>
            </w: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Case related fees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542,754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151,573 </w:t>
            </w: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Other case related expenses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401,092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222,927 </w:t>
            </w: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Consultant fees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306,242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221,183 </w:t>
            </w: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Contractor expenses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127,110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156,876 </w:t>
            </w: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Telephone and internet</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79,169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106,097 </w:t>
            </w: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Recruitment expenses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3,000 </w:t>
            </w: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Other expenses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277,505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286,999 </w:t>
            </w: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goods and services supplied or rendered</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bookmarkStart w:id="317" w:name="RANGE!E25"/>
            <w:r w:rsidRPr="00344BAD">
              <w:rPr>
                <w:rFonts w:eastAsia="Times New Roman" w:cs="Arial"/>
                <w:b/>
                <w:bCs/>
                <w:sz w:val="18"/>
                <w:szCs w:val="18"/>
                <w:lang w:val="en-AU"/>
              </w:rPr>
              <w:t xml:space="preserve">1,893,430 </w:t>
            </w:r>
            <w:bookmarkEnd w:id="317"/>
          </w:p>
        </w:tc>
        <w:tc>
          <w:tcPr>
            <w:tcW w:w="271"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bookmarkStart w:id="318" w:name="RANGE!G25"/>
            <w:r w:rsidRPr="00344BAD">
              <w:rPr>
                <w:rFonts w:eastAsia="Times New Roman" w:cs="Arial"/>
                <w:sz w:val="18"/>
                <w:szCs w:val="18"/>
                <w:lang w:val="en-AU"/>
              </w:rPr>
              <w:t xml:space="preserve">929,986 </w:t>
            </w:r>
            <w:bookmarkEnd w:id="318"/>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Services rendered in connection with</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center"/>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 xml:space="preserve">     Related parties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335,265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416,331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 xml:space="preserve">     External parties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1,558,165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513,655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services rendered</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bookmarkStart w:id="319" w:name="RANGE!E30"/>
            <w:r w:rsidRPr="00344BAD">
              <w:rPr>
                <w:rFonts w:eastAsia="Times New Roman" w:cs="Arial"/>
                <w:b/>
                <w:bCs/>
                <w:sz w:val="18"/>
                <w:szCs w:val="18"/>
                <w:lang w:val="en-AU"/>
              </w:rPr>
              <w:t xml:space="preserve">1,893,430 </w:t>
            </w:r>
            <w:bookmarkEnd w:id="319"/>
          </w:p>
        </w:tc>
        <w:tc>
          <w:tcPr>
            <w:tcW w:w="271" w:type="dxa"/>
            <w:tcBorders>
              <w:top w:val="nil"/>
              <w:left w:val="nil"/>
              <w:bottom w:val="nil"/>
              <w:right w:val="nil"/>
            </w:tcBorders>
            <w:shd w:val="clear" w:color="auto" w:fill="auto"/>
            <w:vAlign w:val="center"/>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bookmarkStart w:id="320" w:name="RANGE!G30"/>
            <w:r w:rsidRPr="00344BAD">
              <w:rPr>
                <w:rFonts w:eastAsia="Times New Roman" w:cs="Arial"/>
                <w:sz w:val="18"/>
                <w:szCs w:val="18"/>
                <w:lang w:val="en-AU"/>
              </w:rPr>
              <w:t xml:space="preserve">929,986 </w:t>
            </w:r>
            <w:bookmarkEnd w:id="320"/>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Other suppliers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Operating lease rentals in connection with</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 xml:space="preserve">     External parties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vAlign w:val="center"/>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 xml:space="preserve">   Minimum lease payments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299,453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293,387 </w:t>
            </w: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Workers compensation expenses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103,187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101,783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other suppliers</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402,640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395,170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suppliers</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2,296,070 </w:t>
            </w:r>
          </w:p>
        </w:tc>
        <w:tc>
          <w:tcPr>
            <w:tcW w:w="271" w:type="dxa"/>
            <w:tcBorders>
              <w:top w:val="nil"/>
              <w:left w:val="nil"/>
              <w:bottom w:val="nil"/>
              <w:right w:val="nil"/>
            </w:tcBorders>
            <w:shd w:val="clear" w:color="auto" w:fill="auto"/>
            <w:vAlign w:val="center"/>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1,325,156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center"/>
          </w:tcPr>
          <w:p w:rsidR="00BF6798" w:rsidRPr="00344BAD"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3C: Depreciation and Amortisation</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Depreciation</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Property, plant and equipment</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56,230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70,844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Buildings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78,322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78,071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depreciation</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134,552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148,915 </w:t>
            </w:r>
          </w:p>
        </w:tc>
      </w:tr>
      <w:tr w:rsidR="00BF6798" w:rsidRPr="00BF6798">
        <w:trPr>
          <w:gridAfter w:val="1"/>
          <w:wAfter w:w="405" w:type="dxa"/>
          <w:trHeight w:val="16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Amortisation</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Intangibles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18,923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31,757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amortisation</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18,923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31,757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depreciation and amortisation</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153,475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180,672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color w:val="0000D4"/>
                <w:sz w:val="18"/>
                <w:szCs w:val="18"/>
                <w:lang w:val="en-AU"/>
              </w:rPr>
            </w:pPr>
          </w:p>
        </w:tc>
        <w:tc>
          <w:tcPr>
            <w:tcW w:w="271"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color w:val="0000D4"/>
                <w:sz w:val="18"/>
                <w:szCs w:val="18"/>
                <w:lang w:val="en-AU"/>
              </w:rPr>
            </w:pP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color w:val="0000D4"/>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3D: Finance Costs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Unwinding of discount</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880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1,960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finance costs</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880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1,960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3E: Write-Down and Impairment of Assets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Asset write-downs and impairments from:</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Impairment on financial instruments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5,000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Impairment of property, plant and equipment</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12,048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Revaluation decrement - property, plant and equipment</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19,958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write-down and impairment of assets</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37,006 </w:t>
            </w:r>
          </w:p>
        </w:tc>
        <w:tc>
          <w:tcPr>
            <w:tcW w:w="271"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3F: Losses from Asset Sales</w:t>
            </w:r>
          </w:p>
        </w:tc>
        <w:tc>
          <w:tcPr>
            <w:tcW w:w="117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Property, plant and equipment:</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vAlign w:val="center"/>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Carrying value of assets sold</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2,687 </w:t>
            </w:r>
          </w:p>
        </w:tc>
      </w:tr>
      <w:tr w:rsidR="00BF6798" w:rsidRPr="00BF6798">
        <w:trPr>
          <w:gridAfter w:val="1"/>
          <w:wAfter w:w="405" w:type="dxa"/>
          <w:trHeight w:val="240"/>
        </w:trPr>
        <w:tc>
          <w:tcPr>
            <w:tcW w:w="5856" w:type="dxa"/>
            <w:tcBorders>
              <w:top w:val="nil"/>
              <w:left w:val="nil"/>
              <w:bottom w:val="nil"/>
              <w:right w:val="nil"/>
            </w:tcBorders>
            <w:shd w:val="clear" w:color="auto" w:fill="auto"/>
            <w:vAlign w:val="center"/>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Selling expense</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211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losses from asset sales</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w:t>
            </w:r>
          </w:p>
        </w:tc>
        <w:tc>
          <w:tcPr>
            <w:tcW w:w="271"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2,898 </w:t>
            </w:r>
          </w:p>
        </w:tc>
      </w:tr>
      <w:tr w:rsidR="00BF6798" w:rsidRPr="00BF6798">
        <w:trPr>
          <w:gridAfter w:val="1"/>
          <w:wAfter w:w="405" w:type="dxa"/>
          <w:trHeight w:val="240"/>
        </w:trPr>
        <w:tc>
          <w:tcPr>
            <w:tcW w:w="5856" w:type="dxa"/>
            <w:tcBorders>
              <w:top w:val="nil"/>
              <w:left w:val="nil"/>
              <w:bottom w:val="nil"/>
              <w:right w:val="nil"/>
            </w:tcBorders>
            <w:shd w:val="clear" w:color="auto" w:fill="auto"/>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176" w:type="dxa"/>
            <w:tcBorders>
              <w:top w:val="nil"/>
              <w:left w:val="nil"/>
              <w:bottom w:val="nil"/>
              <w:right w:val="nil"/>
            </w:tcBorders>
            <w:shd w:val="clear" w:color="auto" w:fill="auto"/>
          </w:tcPr>
          <w:p w:rsidR="00BF6798" w:rsidRPr="00BF6798" w:rsidRDefault="00BF6798" w:rsidP="00BF6798">
            <w:pPr>
              <w:spacing w:after="0" w:line="240" w:lineRule="auto"/>
              <w:rPr>
                <w:rFonts w:ascii="Times New Roman" w:eastAsia="Times New Roman" w:hAnsi="Times New Roman" w:cs="Times New Roman"/>
                <w:color w:val="0000D4"/>
                <w:sz w:val="18"/>
                <w:szCs w:val="18"/>
                <w:lang w:val="en-AU"/>
              </w:rPr>
            </w:pPr>
          </w:p>
        </w:tc>
        <w:tc>
          <w:tcPr>
            <w:tcW w:w="271" w:type="dxa"/>
            <w:tcBorders>
              <w:top w:val="nil"/>
              <w:left w:val="nil"/>
              <w:bottom w:val="nil"/>
              <w:right w:val="nil"/>
            </w:tcBorders>
            <w:shd w:val="clear" w:color="auto" w:fill="auto"/>
          </w:tcPr>
          <w:p w:rsidR="00BF6798" w:rsidRPr="00BF6798" w:rsidRDefault="00BF6798" w:rsidP="00BF6798">
            <w:pPr>
              <w:spacing w:after="0" w:line="240" w:lineRule="auto"/>
              <w:rPr>
                <w:rFonts w:ascii="Times New Roman" w:eastAsia="Times New Roman" w:hAnsi="Times New Roman" w:cs="Times New Roman"/>
                <w:color w:val="0000D4"/>
                <w:sz w:val="18"/>
                <w:szCs w:val="18"/>
                <w:lang w:val="en-AU"/>
              </w:rPr>
            </w:pPr>
          </w:p>
        </w:tc>
        <w:tc>
          <w:tcPr>
            <w:tcW w:w="1176" w:type="dxa"/>
            <w:tcBorders>
              <w:top w:val="nil"/>
              <w:left w:val="nil"/>
              <w:bottom w:val="nil"/>
              <w:right w:val="nil"/>
            </w:tcBorders>
            <w:shd w:val="clear" w:color="auto" w:fill="auto"/>
          </w:tcPr>
          <w:p w:rsidR="00BF6798" w:rsidRPr="00BF6798" w:rsidRDefault="00BF6798" w:rsidP="00BF6798">
            <w:pPr>
              <w:spacing w:after="0" w:line="240" w:lineRule="auto"/>
              <w:rPr>
                <w:rFonts w:ascii="Times New Roman" w:eastAsia="Times New Roman" w:hAnsi="Times New Roman" w:cs="Times New Roman"/>
                <w:color w:val="0000D4"/>
                <w:sz w:val="18"/>
                <w:szCs w:val="18"/>
                <w:lang w:val="en-AU"/>
              </w:rPr>
            </w:pPr>
          </w:p>
        </w:tc>
      </w:tr>
      <w:tr w:rsidR="00BF6798" w:rsidRPr="00BF6798">
        <w:trPr>
          <w:gridAfter w:val="1"/>
          <w:wAfter w:w="405" w:type="dxa"/>
          <w:trHeight w:val="240"/>
        </w:trPr>
        <w:tc>
          <w:tcPr>
            <w:tcW w:w="585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17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271"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17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r>
    </w:tbl>
    <w:p w:rsidR="00FA6C41" w:rsidRPr="00FA6C41" w:rsidRDefault="00FA6C41" w:rsidP="00FA6C41">
      <w:pPr>
        <w:rPr>
          <w:lang w:val="en-GB"/>
        </w:rPr>
      </w:pPr>
    </w:p>
    <w:p w:rsidR="00BF6798" w:rsidRDefault="00BF6798"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r>
        <w:rPr>
          <w:rFonts w:ascii="SamoSansPro-Medium" w:hAnsi="SamoSansPro-Medium" w:cs="SamoSansPro-Medium"/>
          <w:color w:val="28254D"/>
          <w:sz w:val="36"/>
          <w:szCs w:val="36"/>
          <w:lang w:val="en-GB"/>
        </w:rPr>
        <w:br w:type="page"/>
      </w:r>
    </w:p>
    <w:tbl>
      <w:tblPr>
        <w:tblW w:w="8884" w:type="dxa"/>
        <w:tblInd w:w="108" w:type="dxa"/>
        <w:tblLook w:val="04A0"/>
      </w:tblPr>
      <w:tblGrid>
        <w:gridCol w:w="6265"/>
        <w:gridCol w:w="1174"/>
        <w:gridCol w:w="271"/>
        <w:gridCol w:w="1174"/>
      </w:tblGrid>
      <w:tr w:rsidR="00BF6798" w:rsidRPr="00BF6798">
        <w:trPr>
          <w:trHeight w:val="360"/>
        </w:trPr>
        <w:tc>
          <w:tcPr>
            <w:tcW w:w="6316" w:type="dxa"/>
            <w:tcBorders>
              <w:top w:val="nil"/>
              <w:left w:val="nil"/>
              <w:right w:val="nil"/>
            </w:tcBorders>
            <w:shd w:val="clear" w:color="auto" w:fill="auto"/>
            <w:noWrap/>
            <w:vAlign w:val="center"/>
          </w:tcPr>
          <w:p w:rsidR="00BF6798" w:rsidRPr="00BF6798" w:rsidRDefault="00BF6798" w:rsidP="00344BAD">
            <w:pPr>
              <w:rPr>
                <w:lang w:val="en-AU"/>
              </w:rPr>
            </w:pPr>
            <w:bookmarkStart w:id="321" w:name="RANGE!D1:G41"/>
            <w:r w:rsidRPr="00BF6798">
              <w:rPr>
                <w:lang w:val="en-AU"/>
              </w:rPr>
              <w:t>Notes to and forming part of the financial statements</w:t>
            </w:r>
            <w:bookmarkEnd w:id="321"/>
          </w:p>
        </w:tc>
        <w:tc>
          <w:tcPr>
            <w:tcW w:w="1176" w:type="dxa"/>
            <w:tcBorders>
              <w:top w:val="nil"/>
              <w:left w:val="nil"/>
              <w:right w:val="nil"/>
            </w:tcBorders>
            <w:shd w:val="clear" w:color="auto" w:fill="auto"/>
            <w:noWrap/>
            <w:vAlign w:val="center"/>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c>
          <w:tcPr>
            <w:tcW w:w="216" w:type="dxa"/>
            <w:tcBorders>
              <w:top w:val="nil"/>
              <w:left w:val="nil"/>
              <w:right w:val="nil"/>
            </w:tcBorders>
            <w:shd w:val="clear" w:color="auto" w:fill="auto"/>
            <w:noWrap/>
            <w:vAlign w:val="center"/>
          </w:tcPr>
          <w:p w:rsidR="00BF6798" w:rsidRPr="00BF6798" w:rsidRDefault="00BF6798" w:rsidP="00BF6798">
            <w:pPr>
              <w:spacing w:after="0" w:line="240" w:lineRule="auto"/>
              <w:rPr>
                <w:rFonts w:ascii="Times New Roman" w:eastAsia="Times New Roman" w:hAnsi="Times New Roman" w:cs="Times New Roman"/>
                <w:b/>
                <w:bCs/>
                <w:szCs w:val="22"/>
                <w:lang w:val="en-AU"/>
              </w:rPr>
            </w:pPr>
            <w:r w:rsidRPr="00BF6798">
              <w:rPr>
                <w:rFonts w:ascii="Times New Roman" w:eastAsia="Times New Roman" w:hAnsi="Times New Roman" w:cs="Times New Roman"/>
                <w:b/>
                <w:bCs/>
                <w:szCs w:val="22"/>
                <w:lang w:val="en-AU"/>
              </w:rPr>
              <w:t> </w:t>
            </w:r>
          </w:p>
        </w:tc>
        <w:tc>
          <w:tcPr>
            <w:tcW w:w="1176" w:type="dxa"/>
            <w:tcBorders>
              <w:top w:val="nil"/>
              <w:left w:val="nil"/>
              <w:right w:val="nil"/>
            </w:tcBorders>
            <w:shd w:val="clear" w:color="auto" w:fill="auto"/>
            <w:noWrap/>
            <w:vAlign w:val="center"/>
          </w:tcPr>
          <w:p w:rsidR="00BF6798" w:rsidRPr="00BF6798" w:rsidRDefault="00BF6798" w:rsidP="00BF6798">
            <w:pPr>
              <w:spacing w:after="0" w:line="240" w:lineRule="auto"/>
              <w:rPr>
                <w:rFonts w:ascii="Times New Roman" w:eastAsia="Times New Roman" w:hAnsi="Times New Roman" w:cs="Times New Roman"/>
                <w:b/>
                <w:bCs/>
                <w:szCs w:val="22"/>
                <w:lang w:val="en-AU"/>
              </w:rPr>
            </w:pPr>
            <w:r w:rsidRPr="00BF6798">
              <w:rPr>
                <w:rFonts w:ascii="Times New Roman" w:eastAsia="Times New Roman" w:hAnsi="Times New Roman" w:cs="Times New Roman"/>
                <w:b/>
                <w:bCs/>
                <w:szCs w:val="22"/>
                <w:lang w:val="en-AU"/>
              </w:rPr>
              <w:t> </w:t>
            </w:r>
          </w:p>
        </w:tc>
      </w:tr>
      <w:tr w:rsidR="00BF6798" w:rsidRPr="00BF6798">
        <w:trPr>
          <w:trHeight w:val="300"/>
        </w:trPr>
        <w:tc>
          <w:tcPr>
            <w:tcW w:w="6316" w:type="dxa"/>
            <w:tcBorders>
              <w:top w:val="nil"/>
              <w:left w:val="nil"/>
              <w:bottom w:val="single" w:sz="4" w:space="0" w:color="auto"/>
              <w:right w:val="nil"/>
            </w:tcBorders>
            <w:shd w:val="clear" w:color="auto" w:fill="auto"/>
            <w:noWrap/>
          </w:tcPr>
          <w:p w:rsidR="00BF6798" w:rsidRPr="00BF6798" w:rsidRDefault="00BF6798" w:rsidP="00297816">
            <w:pPr>
              <w:pStyle w:val="Financialsnotehead"/>
            </w:pPr>
            <w:r w:rsidRPr="00BF6798">
              <w:t>Note 4: Income</w:t>
            </w:r>
          </w:p>
        </w:tc>
        <w:tc>
          <w:tcPr>
            <w:tcW w:w="1176" w:type="dxa"/>
            <w:tcBorders>
              <w:top w:val="nil"/>
              <w:left w:val="nil"/>
              <w:bottom w:val="single" w:sz="4" w:space="0" w:color="auto"/>
              <w:right w:val="nil"/>
            </w:tcBorders>
            <w:shd w:val="clear" w:color="auto" w:fill="auto"/>
            <w:noWrap/>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c>
          <w:tcPr>
            <w:tcW w:w="216" w:type="dxa"/>
            <w:tcBorders>
              <w:top w:val="nil"/>
              <w:left w:val="nil"/>
              <w:bottom w:val="single" w:sz="4" w:space="0" w:color="auto"/>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b/>
                <w:bCs/>
                <w:szCs w:val="22"/>
                <w:lang w:val="en-AU"/>
              </w:rPr>
            </w:pPr>
            <w:r w:rsidRPr="00BF6798">
              <w:rPr>
                <w:rFonts w:ascii="Times New Roman" w:eastAsia="Times New Roman" w:hAnsi="Times New Roman" w:cs="Times New Roman"/>
                <w:b/>
                <w:bCs/>
                <w:szCs w:val="22"/>
                <w:lang w:val="en-AU"/>
              </w:rPr>
              <w:t> </w:t>
            </w:r>
          </w:p>
        </w:tc>
        <w:tc>
          <w:tcPr>
            <w:tcW w:w="1176" w:type="dxa"/>
            <w:tcBorders>
              <w:top w:val="nil"/>
              <w:left w:val="nil"/>
              <w:bottom w:val="single" w:sz="4" w:space="0" w:color="auto"/>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b/>
                <w:bCs/>
                <w:szCs w:val="22"/>
                <w:lang w:val="en-AU"/>
              </w:rPr>
            </w:pPr>
            <w:r w:rsidRPr="00BF6798">
              <w:rPr>
                <w:rFonts w:ascii="Times New Roman" w:eastAsia="Times New Roman" w:hAnsi="Times New Roman" w:cs="Times New Roman"/>
                <w:b/>
                <w:bCs/>
                <w:szCs w:val="22"/>
                <w:lang w:val="en-AU"/>
              </w:rPr>
              <w:t> </w:t>
            </w:r>
          </w:p>
        </w:tc>
      </w:tr>
      <w:tr w:rsidR="00BF6798" w:rsidRPr="00BF6798">
        <w:trPr>
          <w:trHeight w:val="300"/>
        </w:trPr>
        <w:tc>
          <w:tcPr>
            <w:tcW w:w="6316" w:type="dxa"/>
            <w:tcBorders>
              <w:top w:val="single" w:sz="4" w:space="0" w:color="auto"/>
              <w:left w:val="nil"/>
              <w:bottom w:val="nil"/>
              <w:right w:val="nil"/>
            </w:tcBorders>
            <w:shd w:val="clear" w:color="auto" w:fill="auto"/>
          </w:tcPr>
          <w:p w:rsidR="00BF6798" w:rsidRPr="00BF6798" w:rsidRDefault="00BF6798" w:rsidP="00BF6798">
            <w:pPr>
              <w:spacing w:after="0" w:line="240" w:lineRule="auto"/>
              <w:rPr>
                <w:rFonts w:ascii="Times New Roman" w:eastAsia="Times New Roman" w:hAnsi="Times New Roman" w:cs="Times New Roman"/>
                <w:b/>
                <w:bCs/>
                <w:color w:val="FFFFFF"/>
                <w:sz w:val="18"/>
                <w:szCs w:val="18"/>
                <w:lang w:val="en-AU"/>
              </w:rPr>
            </w:pPr>
          </w:p>
        </w:tc>
        <w:tc>
          <w:tcPr>
            <w:tcW w:w="1176" w:type="dxa"/>
            <w:tcBorders>
              <w:top w:val="single" w:sz="4" w:space="0" w:color="auto"/>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216" w:type="dxa"/>
            <w:tcBorders>
              <w:top w:val="single" w:sz="4" w:space="0" w:color="auto"/>
              <w:left w:val="nil"/>
              <w:bottom w:val="nil"/>
              <w:right w:val="nil"/>
            </w:tcBorders>
            <w:shd w:val="clear" w:color="auto" w:fill="auto"/>
          </w:tcPr>
          <w:p w:rsidR="00BF6798" w:rsidRPr="00BF6798" w:rsidRDefault="00BF6798" w:rsidP="00BF6798">
            <w:pPr>
              <w:spacing w:after="0" w:line="240" w:lineRule="auto"/>
              <w:jc w:val="right"/>
              <w:rPr>
                <w:rFonts w:ascii="Times New Roman" w:eastAsia="Times New Roman" w:hAnsi="Times New Roman" w:cs="Times New Roman"/>
                <w:b/>
                <w:bCs/>
                <w:color w:val="FFFFFF"/>
                <w:sz w:val="18"/>
                <w:szCs w:val="18"/>
                <w:lang w:val="en-AU"/>
              </w:rPr>
            </w:pPr>
          </w:p>
        </w:tc>
        <w:tc>
          <w:tcPr>
            <w:tcW w:w="1176" w:type="dxa"/>
            <w:tcBorders>
              <w:top w:val="single" w:sz="4" w:space="0" w:color="auto"/>
              <w:left w:val="nil"/>
              <w:bottom w:val="nil"/>
              <w:right w:val="nil"/>
            </w:tcBorders>
            <w:shd w:val="clear" w:color="auto" w:fill="auto"/>
          </w:tcPr>
          <w:p w:rsidR="00BF6798" w:rsidRPr="00BF6798" w:rsidRDefault="00BF6798" w:rsidP="00BF6798">
            <w:pPr>
              <w:spacing w:after="0" w:line="240" w:lineRule="auto"/>
              <w:jc w:val="right"/>
              <w:rPr>
                <w:rFonts w:ascii="Times New Roman" w:eastAsia="Times New Roman" w:hAnsi="Times New Roman" w:cs="Times New Roman"/>
                <w:color w:val="FFFFFF"/>
                <w:sz w:val="18"/>
                <w:szCs w:val="18"/>
                <w:lang w:val="en-AU"/>
              </w:rPr>
            </w:pPr>
          </w:p>
        </w:tc>
      </w:tr>
      <w:tr w:rsidR="00BF6798" w:rsidRPr="00344BAD">
        <w:trPr>
          <w:trHeight w:val="240"/>
        </w:trPr>
        <w:tc>
          <w:tcPr>
            <w:tcW w:w="6316" w:type="dxa"/>
            <w:tcBorders>
              <w:top w:val="nil"/>
              <w:left w:val="nil"/>
              <w:right w:val="nil"/>
            </w:tcBorders>
            <w:shd w:val="clear" w:color="auto" w:fill="auto"/>
          </w:tcPr>
          <w:p w:rsidR="00BF6798" w:rsidRPr="00344BAD" w:rsidRDefault="00BF6798" w:rsidP="00BF6798">
            <w:pPr>
              <w:spacing w:after="0" w:line="240" w:lineRule="auto"/>
              <w:rPr>
                <w:rFonts w:eastAsia="Times New Roman" w:cs="Arial"/>
                <w:b/>
                <w:bCs/>
                <w:i/>
                <w:iCs/>
                <w:sz w:val="18"/>
                <w:szCs w:val="18"/>
                <w:lang w:val="en-AU"/>
              </w:rPr>
            </w:pPr>
          </w:p>
        </w:tc>
        <w:tc>
          <w:tcPr>
            <w:tcW w:w="1176" w:type="dxa"/>
            <w:tcBorders>
              <w:top w:val="nil"/>
              <w:left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2014 </w:t>
            </w:r>
          </w:p>
        </w:tc>
        <w:tc>
          <w:tcPr>
            <w:tcW w:w="216" w:type="dxa"/>
            <w:tcBorders>
              <w:top w:val="nil"/>
              <w:left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2013 </w:t>
            </w:r>
          </w:p>
        </w:tc>
      </w:tr>
      <w:tr w:rsidR="00BF6798" w:rsidRPr="00344BAD">
        <w:trPr>
          <w:trHeight w:val="240"/>
        </w:trPr>
        <w:tc>
          <w:tcPr>
            <w:tcW w:w="6316" w:type="dxa"/>
            <w:tcBorders>
              <w:top w:val="nil"/>
              <w:left w:val="nil"/>
              <w:bottom w:val="single" w:sz="4" w:space="0" w:color="auto"/>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OWN-SOURCE REVENUE</w:t>
            </w:r>
          </w:p>
        </w:tc>
        <w:tc>
          <w:tcPr>
            <w:tcW w:w="1176" w:type="dxa"/>
            <w:tcBorders>
              <w:top w:val="nil"/>
              <w:left w:val="nil"/>
              <w:bottom w:val="single" w:sz="4" w:space="0" w:color="auto"/>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w:t>
            </w:r>
          </w:p>
        </w:tc>
        <w:tc>
          <w:tcPr>
            <w:tcW w:w="216" w:type="dxa"/>
            <w:tcBorders>
              <w:top w:val="nil"/>
              <w:left w:val="nil"/>
              <w:bottom w:val="single" w:sz="4" w:space="0" w:color="auto"/>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single" w:sz="4" w:space="0" w:color="auto"/>
              <w:right w:val="nil"/>
            </w:tcBorders>
            <w:shd w:val="clear" w:color="auto" w:fill="auto"/>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w:t>
            </w:r>
          </w:p>
        </w:tc>
      </w:tr>
      <w:tr w:rsidR="00BF6798" w:rsidRPr="00344BAD">
        <w:trPr>
          <w:trHeight w:val="240"/>
        </w:trPr>
        <w:tc>
          <w:tcPr>
            <w:tcW w:w="6316" w:type="dxa"/>
            <w:tcBorders>
              <w:top w:val="single" w:sz="4" w:space="0" w:color="auto"/>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216" w:type="dxa"/>
            <w:tcBorders>
              <w:top w:val="single" w:sz="4" w:space="0" w:color="auto"/>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4A: Sale of Goods and Rendering of Services</w:t>
            </w: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Rendering of services in connection with</w:t>
            </w: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 xml:space="preserve">     Related parties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28,473 </w:t>
            </w:r>
          </w:p>
        </w:tc>
        <w:tc>
          <w:tcPr>
            <w:tcW w:w="21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389 </w:t>
            </w: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 xml:space="preserve">     External parties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 -</w:t>
            </w: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6,650 </w:t>
            </w: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sale of goods and rendering of services</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28,473 </w:t>
            </w: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7,039 </w:t>
            </w: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bookmarkStart w:id="322" w:name="RANGE!D18"/>
            <w:r w:rsidRPr="00344BAD">
              <w:rPr>
                <w:rFonts w:eastAsia="Times New Roman" w:cs="Arial"/>
                <w:b/>
                <w:bCs/>
                <w:sz w:val="18"/>
                <w:szCs w:val="18"/>
                <w:lang w:val="en-AU"/>
              </w:rPr>
              <w:t>GAINS</w:t>
            </w:r>
            <w:bookmarkEnd w:id="322"/>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4B: Other Gains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Resources received free of charge</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 xml:space="preserve">     Financial statement audit services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30,000 </w:t>
            </w: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15,850 </w:t>
            </w:r>
          </w:p>
        </w:tc>
      </w:tr>
      <w:tr w:rsidR="00BF6798" w:rsidRPr="00344BAD">
        <w:trPr>
          <w:trHeight w:val="240"/>
        </w:trPr>
        <w:tc>
          <w:tcPr>
            <w:tcW w:w="6316" w:type="dxa"/>
            <w:tcBorders>
              <w:top w:val="nil"/>
              <w:left w:val="nil"/>
              <w:bottom w:val="nil"/>
              <w:right w:val="nil"/>
            </w:tcBorders>
            <w:shd w:val="clear" w:color="auto" w:fill="auto"/>
            <w:vAlign w:val="bottom"/>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Other</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6,005 </w:t>
            </w: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BF6798" w:rsidRPr="00344BAD">
        <w:trPr>
          <w:trHeight w:val="30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other gains</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36,005 </w:t>
            </w: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15,850 </w:t>
            </w:r>
          </w:p>
        </w:tc>
      </w:tr>
      <w:tr w:rsidR="00BF6798" w:rsidRPr="00344BAD">
        <w:trPr>
          <w:trHeight w:val="30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30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4C: Reversals of Previous Asset Write-Downs and Impairments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Revaluation increments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2,342 </w:t>
            </w: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reversals of previous asset write-downs and impairments</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2,342 </w:t>
            </w: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 -</w:t>
            </w:r>
          </w:p>
        </w:tc>
      </w:tr>
      <w:tr w:rsidR="00BF6798" w:rsidRPr="00344BAD">
        <w:trPr>
          <w:trHeight w:val="240"/>
        </w:trPr>
        <w:tc>
          <w:tcPr>
            <w:tcW w:w="631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21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REVENUE FROM GOVERNMENT</w:t>
            </w:r>
          </w:p>
        </w:tc>
        <w:tc>
          <w:tcPr>
            <w:tcW w:w="117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u w:val="single"/>
                <w:lang w:val="en-AU"/>
              </w:rPr>
            </w:pPr>
            <w:r w:rsidRPr="00344BAD">
              <w:rPr>
                <w:rFonts w:eastAsia="Times New Roman" w:cs="Arial"/>
                <w:b/>
                <w:bCs/>
                <w:sz w:val="18"/>
                <w:szCs w:val="18"/>
                <w:u w:val="single"/>
                <w:lang w:val="en-AU"/>
              </w:rPr>
              <w:t>Note 4D: Revenue from Government</w:t>
            </w: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p>
        </w:tc>
        <w:tc>
          <w:tcPr>
            <w:tcW w:w="21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sz w:val="18"/>
                <w:szCs w:val="18"/>
                <w:lang w:val="en-AU"/>
              </w:rPr>
            </w:pPr>
            <w:r w:rsidRPr="00344BAD">
              <w:rPr>
                <w:rFonts w:eastAsia="Times New Roman" w:cs="Arial"/>
                <w:sz w:val="18"/>
                <w:szCs w:val="18"/>
                <w:lang w:val="en-AU"/>
              </w:rPr>
              <w:t>Appropriations</w:t>
            </w: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344BAD" w:rsidRDefault="00BF6798" w:rsidP="00BF6798">
            <w:pPr>
              <w:spacing w:after="0" w:line="240" w:lineRule="auto"/>
              <w:jc w:val="right"/>
              <w:rPr>
                <w:rFonts w:eastAsia="Times New Roman" w:cs="Arial"/>
                <w:sz w:val="18"/>
                <w:szCs w:val="18"/>
                <w:lang w:val="en-AU"/>
              </w:rPr>
            </w:pP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9F7D0F">
            <w:pPr>
              <w:spacing w:after="0" w:line="240" w:lineRule="auto"/>
              <w:ind w:firstLineChars="200" w:firstLine="280"/>
              <w:rPr>
                <w:rFonts w:eastAsia="Times New Roman" w:cs="Arial"/>
                <w:sz w:val="18"/>
                <w:szCs w:val="18"/>
                <w:lang w:val="en-AU"/>
              </w:rPr>
            </w:pPr>
            <w:r w:rsidRPr="00344BAD">
              <w:rPr>
                <w:rFonts w:eastAsia="Times New Roman" w:cs="Arial"/>
                <w:sz w:val="18"/>
                <w:szCs w:val="18"/>
                <w:lang w:val="en-AU"/>
              </w:rPr>
              <w:t>Departmental appropriations</w:t>
            </w: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5,740,000 </w:t>
            </w: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5,739,000 </w:t>
            </w:r>
          </w:p>
        </w:tc>
      </w:tr>
      <w:tr w:rsidR="00BF6798" w:rsidRPr="00344BAD">
        <w:trPr>
          <w:trHeight w:val="240"/>
        </w:trPr>
        <w:tc>
          <w:tcPr>
            <w:tcW w:w="6316" w:type="dxa"/>
            <w:tcBorders>
              <w:top w:val="nil"/>
              <w:left w:val="nil"/>
              <w:bottom w:val="nil"/>
              <w:right w:val="nil"/>
            </w:tcBorders>
            <w:shd w:val="clear" w:color="auto" w:fill="auto"/>
          </w:tcPr>
          <w:p w:rsidR="00BF6798" w:rsidRPr="00344BAD" w:rsidRDefault="00BF6798" w:rsidP="00BF6798">
            <w:pPr>
              <w:spacing w:after="0" w:line="240" w:lineRule="auto"/>
              <w:rPr>
                <w:rFonts w:eastAsia="Times New Roman" w:cs="Arial"/>
                <w:b/>
                <w:bCs/>
                <w:sz w:val="18"/>
                <w:szCs w:val="18"/>
                <w:lang w:val="en-AU"/>
              </w:rPr>
            </w:pPr>
            <w:r w:rsidRPr="00344BAD">
              <w:rPr>
                <w:rFonts w:eastAsia="Times New Roman" w:cs="Arial"/>
                <w:b/>
                <w:bCs/>
                <w:sz w:val="18"/>
                <w:szCs w:val="18"/>
                <w:lang w:val="en-AU"/>
              </w:rPr>
              <w:t>Total revenue from Government</w:t>
            </w: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b/>
                <w:bCs/>
                <w:sz w:val="18"/>
                <w:szCs w:val="18"/>
                <w:lang w:val="en-AU"/>
              </w:rPr>
            </w:pPr>
            <w:r w:rsidRPr="00344BAD">
              <w:rPr>
                <w:rFonts w:eastAsia="Times New Roman" w:cs="Arial"/>
                <w:b/>
                <w:bCs/>
                <w:sz w:val="18"/>
                <w:szCs w:val="18"/>
                <w:lang w:val="en-AU"/>
              </w:rPr>
              <w:t xml:space="preserve">5,740,000 </w:t>
            </w:r>
          </w:p>
        </w:tc>
        <w:tc>
          <w:tcPr>
            <w:tcW w:w="216" w:type="dxa"/>
            <w:tcBorders>
              <w:top w:val="nil"/>
              <w:left w:val="nil"/>
              <w:bottom w:val="nil"/>
              <w:right w:val="nil"/>
            </w:tcBorders>
            <w:shd w:val="clear" w:color="auto" w:fill="auto"/>
            <w:vAlign w:val="bottom"/>
          </w:tcPr>
          <w:p w:rsidR="00BF6798" w:rsidRPr="00344BAD"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344BAD" w:rsidRDefault="00BF6798" w:rsidP="00BF6798">
            <w:pPr>
              <w:spacing w:after="0" w:line="240" w:lineRule="auto"/>
              <w:jc w:val="right"/>
              <w:rPr>
                <w:rFonts w:eastAsia="Times New Roman" w:cs="Arial"/>
                <w:sz w:val="18"/>
                <w:szCs w:val="18"/>
                <w:lang w:val="en-AU"/>
              </w:rPr>
            </w:pPr>
            <w:r w:rsidRPr="00344BAD">
              <w:rPr>
                <w:rFonts w:eastAsia="Times New Roman" w:cs="Arial"/>
                <w:sz w:val="18"/>
                <w:szCs w:val="18"/>
                <w:lang w:val="en-AU"/>
              </w:rPr>
              <w:t xml:space="preserve">5,739,000 </w:t>
            </w:r>
          </w:p>
        </w:tc>
      </w:tr>
    </w:tbl>
    <w:p w:rsidR="00297816" w:rsidRDefault="00297816"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sectPr w:rsidR="00297816" w:rsidSect="001E2C73">
          <w:pgSz w:w="11906" w:h="16838"/>
          <w:pgMar w:top="567" w:right="720" w:bottom="567" w:left="720" w:footer="284" w:gutter="0"/>
          <w:noEndnote/>
        </w:sectPr>
      </w:pPr>
    </w:p>
    <w:p w:rsidR="00BF6798" w:rsidRDefault="00BF6798"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p>
    <w:tbl>
      <w:tblPr>
        <w:tblW w:w="15778" w:type="dxa"/>
        <w:tblInd w:w="108" w:type="dxa"/>
        <w:tblLayout w:type="fixed"/>
        <w:tblLook w:val="04A0"/>
      </w:tblPr>
      <w:tblGrid>
        <w:gridCol w:w="5856"/>
        <w:gridCol w:w="1496"/>
        <w:gridCol w:w="1396"/>
        <w:gridCol w:w="466"/>
        <w:gridCol w:w="1470"/>
        <w:gridCol w:w="231"/>
        <w:gridCol w:w="2987"/>
        <w:gridCol w:w="1876"/>
      </w:tblGrid>
      <w:tr w:rsidR="00BF6798" w:rsidRPr="00BF6798">
        <w:trPr>
          <w:trHeight w:val="360"/>
        </w:trPr>
        <w:tc>
          <w:tcPr>
            <w:tcW w:w="5856" w:type="dxa"/>
            <w:tcBorders>
              <w:top w:val="nil"/>
              <w:left w:val="nil"/>
              <w:right w:val="nil"/>
            </w:tcBorders>
            <w:shd w:val="clear" w:color="auto" w:fill="auto"/>
            <w:noWrap/>
            <w:vAlign w:val="center"/>
          </w:tcPr>
          <w:p w:rsidR="00BF6798" w:rsidRPr="00BF6798" w:rsidRDefault="00BF6798" w:rsidP="00297816">
            <w:pPr>
              <w:rPr>
                <w:lang w:val="en-AU"/>
              </w:rPr>
            </w:pPr>
            <w:bookmarkStart w:id="323" w:name="RANGE!C1:H83"/>
            <w:r w:rsidRPr="00BF6798">
              <w:rPr>
                <w:lang w:val="en-AU"/>
              </w:rPr>
              <w:t>Notes to and forming part of the financial statements</w:t>
            </w:r>
            <w:bookmarkEnd w:id="323"/>
          </w:p>
        </w:tc>
        <w:tc>
          <w:tcPr>
            <w:tcW w:w="1496" w:type="dxa"/>
            <w:tcBorders>
              <w:top w:val="nil"/>
              <w:left w:val="nil"/>
              <w:right w:val="nil"/>
            </w:tcBorders>
            <w:shd w:val="clear" w:color="auto" w:fill="auto"/>
            <w:noWrap/>
            <w:vAlign w:val="center"/>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c>
          <w:tcPr>
            <w:tcW w:w="1396" w:type="dxa"/>
            <w:tcBorders>
              <w:top w:val="nil"/>
              <w:left w:val="nil"/>
              <w:right w:val="nil"/>
            </w:tcBorders>
            <w:shd w:val="clear" w:color="auto" w:fill="auto"/>
            <w:noWrap/>
            <w:vAlign w:val="center"/>
          </w:tcPr>
          <w:p w:rsidR="00BF6798" w:rsidRPr="00BF6798" w:rsidRDefault="00BF6798" w:rsidP="00BF6798">
            <w:pPr>
              <w:spacing w:after="0" w:line="240" w:lineRule="auto"/>
              <w:rPr>
                <w:rFonts w:ascii="Times New Roman" w:eastAsia="Times New Roman" w:hAnsi="Times New Roman" w:cs="Times New Roman"/>
                <w:b/>
                <w:bCs/>
                <w:szCs w:val="22"/>
                <w:lang w:val="en-AU"/>
              </w:rPr>
            </w:pPr>
            <w:r w:rsidRPr="00BF6798">
              <w:rPr>
                <w:rFonts w:ascii="Times New Roman" w:eastAsia="Times New Roman" w:hAnsi="Times New Roman" w:cs="Times New Roman"/>
                <w:b/>
                <w:bCs/>
                <w:szCs w:val="22"/>
                <w:lang w:val="en-AU"/>
              </w:rPr>
              <w:t> </w:t>
            </w:r>
          </w:p>
        </w:tc>
        <w:tc>
          <w:tcPr>
            <w:tcW w:w="2167" w:type="dxa"/>
            <w:gridSpan w:val="3"/>
            <w:tcBorders>
              <w:top w:val="nil"/>
              <w:left w:val="nil"/>
              <w:right w:val="nil"/>
            </w:tcBorders>
            <w:shd w:val="clear" w:color="auto" w:fill="auto"/>
            <w:noWrap/>
            <w:vAlign w:val="center"/>
          </w:tcPr>
          <w:p w:rsidR="00BF6798" w:rsidRPr="00BF6798" w:rsidRDefault="00BF6798" w:rsidP="00BF6798">
            <w:pPr>
              <w:spacing w:after="0" w:line="240" w:lineRule="auto"/>
              <w:rPr>
                <w:rFonts w:ascii="Times New Roman" w:eastAsia="Times New Roman" w:hAnsi="Times New Roman" w:cs="Times New Roman"/>
                <w:b/>
                <w:bCs/>
                <w:szCs w:val="22"/>
                <w:lang w:val="en-AU"/>
              </w:rPr>
            </w:pPr>
            <w:r w:rsidRPr="00BF6798">
              <w:rPr>
                <w:rFonts w:ascii="Times New Roman" w:eastAsia="Times New Roman" w:hAnsi="Times New Roman" w:cs="Times New Roman"/>
                <w:b/>
                <w:bCs/>
                <w:szCs w:val="22"/>
                <w:lang w:val="en-AU"/>
              </w:rPr>
              <w:t> </w:t>
            </w:r>
          </w:p>
        </w:tc>
        <w:tc>
          <w:tcPr>
            <w:tcW w:w="2987" w:type="dxa"/>
            <w:tcBorders>
              <w:top w:val="nil"/>
              <w:left w:val="nil"/>
              <w:right w:val="nil"/>
            </w:tcBorders>
            <w:shd w:val="clear" w:color="auto" w:fill="auto"/>
            <w:noWrap/>
            <w:vAlign w:val="center"/>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c>
          <w:tcPr>
            <w:tcW w:w="1876" w:type="dxa"/>
            <w:tcBorders>
              <w:top w:val="nil"/>
              <w:left w:val="nil"/>
              <w:right w:val="nil"/>
            </w:tcBorders>
            <w:shd w:val="clear" w:color="auto" w:fill="auto"/>
            <w:noWrap/>
            <w:vAlign w:val="center"/>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r>
      <w:tr w:rsidR="00BF6798" w:rsidRPr="00BF6798">
        <w:trPr>
          <w:trHeight w:val="260"/>
        </w:trPr>
        <w:tc>
          <w:tcPr>
            <w:tcW w:w="5856" w:type="dxa"/>
            <w:tcBorders>
              <w:left w:val="nil"/>
              <w:bottom w:val="single" w:sz="4" w:space="0" w:color="auto"/>
              <w:right w:val="nil"/>
            </w:tcBorders>
            <w:shd w:val="clear" w:color="auto" w:fill="auto"/>
            <w:noWrap/>
          </w:tcPr>
          <w:p w:rsidR="00BF6798" w:rsidRPr="00BF6798" w:rsidRDefault="00BF6798" w:rsidP="00297816">
            <w:pPr>
              <w:pStyle w:val="Financialsnotehead"/>
            </w:pPr>
            <w:r w:rsidRPr="00BF6798">
              <w:t>Note 5: Fair Value Measurements</w:t>
            </w:r>
          </w:p>
        </w:tc>
        <w:tc>
          <w:tcPr>
            <w:tcW w:w="1496" w:type="dxa"/>
            <w:tcBorders>
              <w:top w:val="nil"/>
              <w:left w:val="nil"/>
              <w:bottom w:val="single" w:sz="4" w:space="0" w:color="auto"/>
              <w:right w:val="nil"/>
            </w:tcBorders>
            <w:shd w:val="clear" w:color="auto" w:fill="auto"/>
            <w:noWrap/>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c>
          <w:tcPr>
            <w:tcW w:w="1396" w:type="dxa"/>
            <w:tcBorders>
              <w:top w:val="nil"/>
              <w:left w:val="nil"/>
              <w:bottom w:val="single" w:sz="4" w:space="0" w:color="auto"/>
              <w:right w:val="nil"/>
            </w:tcBorders>
            <w:shd w:val="clear" w:color="auto" w:fill="auto"/>
            <w:noWrap/>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c>
          <w:tcPr>
            <w:tcW w:w="2167" w:type="dxa"/>
            <w:gridSpan w:val="3"/>
            <w:tcBorders>
              <w:top w:val="nil"/>
              <w:left w:val="nil"/>
              <w:bottom w:val="single" w:sz="4" w:space="0" w:color="auto"/>
              <w:right w:val="nil"/>
            </w:tcBorders>
            <w:shd w:val="clear" w:color="auto" w:fill="auto"/>
            <w:noWrap/>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c>
          <w:tcPr>
            <w:tcW w:w="2987" w:type="dxa"/>
            <w:tcBorders>
              <w:top w:val="nil"/>
              <w:left w:val="nil"/>
              <w:bottom w:val="single" w:sz="4" w:space="0" w:color="auto"/>
              <w:right w:val="nil"/>
            </w:tcBorders>
            <w:shd w:val="clear" w:color="auto" w:fill="auto"/>
            <w:noWrap/>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c>
          <w:tcPr>
            <w:tcW w:w="1876" w:type="dxa"/>
            <w:tcBorders>
              <w:top w:val="nil"/>
              <w:left w:val="nil"/>
              <w:bottom w:val="single" w:sz="4" w:space="0" w:color="auto"/>
              <w:right w:val="nil"/>
            </w:tcBorders>
            <w:shd w:val="clear" w:color="auto" w:fill="auto"/>
            <w:noWrap/>
          </w:tcPr>
          <w:p w:rsidR="00BF6798" w:rsidRPr="00BF6798" w:rsidRDefault="00BF6798" w:rsidP="00BF6798">
            <w:pPr>
              <w:spacing w:after="0" w:line="240" w:lineRule="auto"/>
              <w:rPr>
                <w:rFonts w:ascii="Times New Roman" w:eastAsia="Times New Roman" w:hAnsi="Times New Roman" w:cs="Times New Roman"/>
                <w:b/>
                <w:bCs/>
                <w:color w:val="FFFFFF"/>
                <w:szCs w:val="22"/>
                <w:lang w:val="en-AU"/>
              </w:rPr>
            </w:pPr>
            <w:r w:rsidRPr="00BF6798">
              <w:rPr>
                <w:rFonts w:ascii="Times New Roman" w:eastAsia="Times New Roman" w:hAnsi="Times New Roman" w:cs="Times New Roman"/>
                <w:b/>
                <w:bCs/>
                <w:color w:val="FFFFFF"/>
                <w:szCs w:val="22"/>
                <w:lang w:val="en-AU"/>
              </w:rPr>
              <w:t> </w:t>
            </w:r>
          </w:p>
        </w:tc>
      </w:tr>
      <w:tr w:rsidR="00BF6798" w:rsidRPr="00BF6798">
        <w:trPr>
          <w:trHeight w:val="240"/>
        </w:trPr>
        <w:tc>
          <w:tcPr>
            <w:tcW w:w="5856" w:type="dxa"/>
            <w:tcBorders>
              <w:top w:val="single" w:sz="4" w:space="0" w:color="auto"/>
              <w:left w:val="nil"/>
              <w:bottom w:val="nil"/>
              <w:right w:val="nil"/>
            </w:tcBorders>
            <w:shd w:val="clear" w:color="auto" w:fill="auto"/>
          </w:tcPr>
          <w:p w:rsidR="00BF6798" w:rsidRPr="00BF6798" w:rsidRDefault="00BF6798" w:rsidP="00BF6798">
            <w:pPr>
              <w:spacing w:after="0" w:line="240" w:lineRule="auto"/>
              <w:rPr>
                <w:rFonts w:ascii="Times New Roman" w:eastAsia="Times New Roman" w:hAnsi="Times New Roman" w:cs="Times New Roman"/>
                <w:b/>
                <w:bCs/>
                <w:color w:val="FFFFFF"/>
                <w:sz w:val="18"/>
                <w:szCs w:val="18"/>
                <w:lang w:val="en-AU"/>
              </w:rPr>
            </w:pPr>
          </w:p>
        </w:tc>
        <w:tc>
          <w:tcPr>
            <w:tcW w:w="1496" w:type="dxa"/>
            <w:tcBorders>
              <w:top w:val="single" w:sz="4" w:space="0" w:color="auto"/>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396" w:type="dxa"/>
            <w:tcBorders>
              <w:top w:val="single" w:sz="4" w:space="0" w:color="auto"/>
              <w:left w:val="nil"/>
              <w:bottom w:val="nil"/>
              <w:right w:val="nil"/>
            </w:tcBorders>
            <w:shd w:val="clear" w:color="auto" w:fill="auto"/>
          </w:tcPr>
          <w:p w:rsidR="00BF6798" w:rsidRPr="00BF6798" w:rsidRDefault="00BF6798" w:rsidP="00BF6798">
            <w:pPr>
              <w:spacing w:after="0" w:line="240" w:lineRule="auto"/>
              <w:jc w:val="right"/>
              <w:rPr>
                <w:rFonts w:ascii="Times New Roman" w:eastAsia="Times New Roman" w:hAnsi="Times New Roman" w:cs="Times New Roman"/>
                <w:color w:val="FFFFFF"/>
                <w:sz w:val="18"/>
                <w:szCs w:val="18"/>
                <w:lang w:val="en-AU"/>
              </w:rPr>
            </w:pPr>
          </w:p>
        </w:tc>
        <w:tc>
          <w:tcPr>
            <w:tcW w:w="2167" w:type="dxa"/>
            <w:gridSpan w:val="3"/>
            <w:tcBorders>
              <w:top w:val="single" w:sz="4" w:space="0" w:color="auto"/>
              <w:left w:val="nil"/>
              <w:bottom w:val="nil"/>
              <w:right w:val="nil"/>
            </w:tcBorders>
            <w:shd w:val="clear" w:color="auto" w:fill="auto"/>
            <w:noWrap/>
            <w:vAlign w:val="bottom"/>
          </w:tcPr>
          <w:p w:rsidR="00BF6798" w:rsidRPr="00BF6798" w:rsidRDefault="00BF6798" w:rsidP="00BF6798">
            <w:pPr>
              <w:spacing w:after="0" w:line="240" w:lineRule="auto"/>
              <w:rPr>
                <w:rFonts w:eastAsia="Times New Roman" w:cs="Arial"/>
                <w:sz w:val="20"/>
                <w:szCs w:val="20"/>
                <w:lang w:val="en-AU"/>
              </w:rPr>
            </w:pPr>
          </w:p>
        </w:tc>
        <w:tc>
          <w:tcPr>
            <w:tcW w:w="2987" w:type="dxa"/>
            <w:tcBorders>
              <w:top w:val="single" w:sz="4" w:space="0" w:color="auto"/>
              <w:left w:val="nil"/>
              <w:bottom w:val="nil"/>
              <w:right w:val="nil"/>
            </w:tcBorders>
            <w:shd w:val="clear" w:color="auto" w:fill="auto"/>
            <w:noWrap/>
            <w:vAlign w:val="bottom"/>
          </w:tcPr>
          <w:p w:rsidR="00BF6798" w:rsidRPr="00BF6798" w:rsidRDefault="00BF6798" w:rsidP="00BF6798">
            <w:pPr>
              <w:spacing w:after="0" w:line="240" w:lineRule="auto"/>
              <w:rPr>
                <w:rFonts w:eastAsia="Times New Roman" w:cs="Arial"/>
                <w:sz w:val="20"/>
                <w:szCs w:val="20"/>
                <w:lang w:val="en-AU"/>
              </w:rPr>
            </w:pPr>
          </w:p>
        </w:tc>
        <w:tc>
          <w:tcPr>
            <w:tcW w:w="1876" w:type="dxa"/>
            <w:tcBorders>
              <w:top w:val="single" w:sz="4" w:space="0" w:color="auto"/>
              <w:left w:val="nil"/>
              <w:bottom w:val="nil"/>
              <w:right w:val="nil"/>
            </w:tcBorders>
            <w:shd w:val="clear" w:color="auto" w:fill="auto"/>
            <w:noWrap/>
            <w:vAlign w:val="bottom"/>
          </w:tcPr>
          <w:p w:rsidR="00BF6798" w:rsidRPr="00BF6798" w:rsidRDefault="00BF6798" w:rsidP="00BF6798">
            <w:pPr>
              <w:spacing w:after="0" w:line="240" w:lineRule="auto"/>
              <w:rPr>
                <w:rFonts w:eastAsia="Times New Roman" w:cs="Arial"/>
                <w:sz w:val="20"/>
                <w:szCs w:val="20"/>
                <w:lang w:val="en-AU"/>
              </w:rPr>
            </w:pPr>
          </w:p>
        </w:tc>
      </w:tr>
      <w:tr w:rsidR="00BF6798" w:rsidRPr="00297816">
        <w:trPr>
          <w:trHeight w:val="240"/>
        </w:trPr>
        <w:tc>
          <w:tcPr>
            <w:tcW w:w="8748" w:type="dxa"/>
            <w:gridSpan w:val="3"/>
            <w:tcBorders>
              <w:top w:val="nil"/>
              <w:left w:val="nil"/>
              <w:bottom w:val="nil"/>
              <w:right w:val="nil"/>
            </w:tcBorders>
            <w:shd w:val="clear" w:color="auto" w:fill="auto"/>
            <w:noWrap/>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The following tables provide an analysis of assets and liabilities that are measured at fair value.</w:t>
            </w:r>
          </w:p>
        </w:tc>
        <w:tc>
          <w:tcPr>
            <w:tcW w:w="2167" w:type="dxa"/>
            <w:gridSpan w:val="3"/>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298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The different levels of the fair value hierarchy are defined below.</w:t>
            </w:r>
          </w:p>
        </w:tc>
        <w:tc>
          <w:tcPr>
            <w:tcW w:w="149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39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sz w:val="18"/>
                <w:szCs w:val="18"/>
                <w:lang w:val="en-AU"/>
              </w:rPr>
            </w:pPr>
          </w:p>
        </w:tc>
        <w:tc>
          <w:tcPr>
            <w:tcW w:w="2167" w:type="dxa"/>
            <w:gridSpan w:val="3"/>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298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167" w:type="dxa"/>
            <w:gridSpan w:val="3"/>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298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10915" w:type="dxa"/>
            <w:gridSpan w:val="6"/>
            <w:tcBorders>
              <w:top w:val="nil"/>
              <w:left w:val="nil"/>
              <w:bottom w:val="nil"/>
              <w:right w:val="nil"/>
            </w:tcBorders>
            <w:shd w:val="clear" w:color="auto" w:fill="auto"/>
            <w:noWrap/>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Level 1: Quoted prices (unadjusted) in active markets for identical assets or liabilities that the entity can access at measurement date.</w:t>
            </w:r>
          </w:p>
        </w:tc>
        <w:tc>
          <w:tcPr>
            <w:tcW w:w="298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10915" w:type="dxa"/>
            <w:gridSpan w:val="6"/>
            <w:tcBorders>
              <w:top w:val="nil"/>
              <w:left w:val="nil"/>
              <w:bottom w:val="nil"/>
              <w:right w:val="nil"/>
            </w:tcBorders>
            <w:shd w:val="clear" w:color="auto" w:fill="auto"/>
            <w:noWrap/>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Level 2: Inputs other than quoted prices included within Level 1 that are observable for the asset or liability, either directly or indirectly.</w:t>
            </w:r>
          </w:p>
        </w:tc>
        <w:tc>
          <w:tcPr>
            <w:tcW w:w="298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Level 3: Unobservable inputs for the asset or liability.</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701"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298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701"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298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tcPr>
          <w:p w:rsidR="00BF6798" w:rsidRPr="00297816" w:rsidRDefault="00BF6798" w:rsidP="00BF6798">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5A: Fair Value Measurements</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color w:val="DD0806"/>
                <w:sz w:val="18"/>
                <w:szCs w:val="18"/>
                <w:lang w:val="en-AU"/>
              </w:rPr>
            </w:pP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701"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298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49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862" w:type="dxa"/>
            <w:gridSpan w:val="2"/>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sz w:val="18"/>
                <w:szCs w:val="18"/>
                <w:lang w:val="en-AU"/>
              </w:rPr>
            </w:pPr>
          </w:p>
        </w:tc>
        <w:tc>
          <w:tcPr>
            <w:tcW w:w="1701"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298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9214" w:type="dxa"/>
            <w:gridSpan w:val="4"/>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Fair value measurements at the end of the reporting period by hierarchy for assets and liabilities in 2014</w:t>
            </w:r>
          </w:p>
        </w:tc>
        <w:tc>
          <w:tcPr>
            <w:tcW w:w="1701" w:type="dxa"/>
            <w:gridSpan w:val="2"/>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r w:rsidRPr="00297816">
              <w:rPr>
                <w:rFonts w:eastAsia="Times New Roman" w:cs="Arial"/>
                <w:sz w:val="20"/>
                <w:szCs w:val="20"/>
                <w:lang w:val="en-AU"/>
              </w:rPr>
              <w:t> </w:t>
            </w:r>
          </w:p>
        </w:tc>
        <w:tc>
          <w:tcPr>
            <w:tcW w:w="2987"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r w:rsidRPr="00297816">
              <w:rPr>
                <w:rFonts w:eastAsia="Times New Roman" w:cs="Arial"/>
                <w:sz w:val="20"/>
                <w:szCs w:val="20"/>
                <w:lang w:val="en-AU"/>
              </w:rPr>
              <w:t> </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5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8046" w:type="dxa"/>
            <w:gridSpan w:val="6"/>
            <w:tcBorders>
              <w:top w:val="nil"/>
              <w:left w:val="nil"/>
              <w:bottom w:val="single" w:sz="4" w:space="0" w:color="auto"/>
              <w:right w:val="nil"/>
            </w:tcBorders>
            <w:shd w:val="clear" w:color="auto" w:fill="auto"/>
            <w:vAlign w:val="bottom"/>
          </w:tcPr>
          <w:p w:rsidR="00BF6798" w:rsidRPr="00297816" w:rsidRDefault="00BF6798" w:rsidP="00BF6798">
            <w:pPr>
              <w:spacing w:after="0" w:line="240" w:lineRule="auto"/>
              <w:jc w:val="center"/>
              <w:rPr>
                <w:rFonts w:eastAsia="Times New Roman" w:cs="Arial"/>
                <w:b/>
                <w:bCs/>
                <w:sz w:val="18"/>
                <w:szCs w:val="18"/>
                <w:lang w:val="en-AU"/>
              </w:rPr>
            </w:pPr>
            <w:r w:rsidRPr="00297816">
              <w:rPr>
                <w:rFonts w:eastAsia="Times New Roman" w:cs="Arial"/>
                <w:b/>
                <w:bCs/>
                <w:sz w:val="18"/>
                <w:szCs w:val="18"/>
                <w:lang w:val="en-AU"/>
              </w:rPr>
              <w:t>Fair value measurements at the end of the reporting period using</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center"/>
              <w:rPr>
                <w:rFonts w:eastAsia="Times New Roman" w:cs="Arial"/>
                <w:b/>
                <w:bCs/>
                <w:sz w:val="18"/>
                <w:szCs w:val="18"/>
                <w:lang w:val="en-AU"/>
              </w:rPr>
            </w:pPr>
            <w:r w:rsidRPr="00297816">
              <w:rPr>
                <w:rFonts w:eastAsia="Times New Roman" w:cs="Arial"/>
                <w:b/>
                <w:bCs/>
                <w:sz w:val="18"/>
                <w:szCs w:val="18"/>
                <w:lang w:val="en-AU"/>
              </w:rPr>
              <w:t>Fair Value</w:t>
            </w: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center"/>
              <w:rPr>
                <w:rFonts w:eastAsia="Times New Roman" w:cs="Arial"/>
                <w:b/>
                <w:bCs/>
                <w:sz w:val="18"/>
                <w:szCs w:val="18"/>
                <w:lang w:val="en-AU"/>
              </w:rPr>
            </w:pPr>
            <w:r w:rsidRPr="00297816">
              <w:rPr>
                <w:rFonts w:eastAsia="Times New Roman" w:cs="Arial"/>
                <w:b/>
                <w:bCs/>
                <w:sz w:val="18"/>
                <w:szCs w:val="18"/>
                <w:lang w:val="en-AU"/>
              </w:rPr>
              <w:t>Level 1 inputs</w:t>
            </w: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center"/>
              <w:rPr>
                <w:rFonts w:eastAsia="Times New Roman" w:cs="Arial"/>
                <w:b/>
                <w:bCs/>
                <w:sz w:val="18"/>
                <w:szCs w:val="18"/>
                <w:lang w:val="en-AU"/>
              </w:rPr>
            </w:pPr>
            <w:r w:rsidRPr="00297816">
              <w:rPr>
                <w:rFonts w:eastAsia="Times New Roman" w:cs="Arial"/>
                <w:b/>
                <w:bCs/>
                <w:sz w:val="18"/>
                <w:szCs w:val="18"/>
                <w:lang w:val="en-AU"/>
              </w:rPr>
              <w:t>Level 2 inputs</w:t>
            </w: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center"/>
              <w:rPr>
                <w:rFonts w:eastAsia="Times New Roman" w:cs="Arial"/>
                <w:b/>
                <w:bCs/>
                <w:sz w:val="18"/>
                <w:szCs w:val="18"/>
                <w:lang w:val="en-AU"/>
              </w:rPr>
            </w:pPr>
            <w:r w:rsidRPr="00297816">
              <w:rPr>
                <w:rFonts w:eastAsia="Times New Roman" w:cs="Arial"/>
                <w:b/>
                <w:bCs/>
                <w:sz w:val="18"/>
                <w:szCs w:val="18"/>
                <w:lang w:val="en-AU"/>
              </w:rPr>
              <w:t>Level 3 inputs</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496" w:type="dxa"/>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862" w:type="dxa"/>
            <w:gridSpan w:val="2"/>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470" w:type="dxa"/>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3218" w:type="dxa"/>
            <w:gridSpan w:val="2"/>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Non-financial assets</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Leasehold improvements</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261,700 </w:t>
            </w: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261,700 </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Other property, plant and equipment</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171,070 </w:t>
            </w: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27,350 </w:t>
            </w: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143,720 </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non-financial assets</w:t>
            </w:r>
          </w:p>
        </w:tc>
        <w:tc>
          <w:tcPr>
            <w:tcW w:w="149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432,770 </w:t>
            </w:r>
          </w:p>
        </w:tc>
        <w:tc>
          <w:tcPr>
            <w:tcW w:w="1862" w:type="dxa"/>
            <w:gridSpan w:val="2"/>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470"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27,350 </w:t>
            </w:r>
          </w:p>
        </w:tc>
        <w:tc>
          <w:tcPr>
            <w:tcW w:w="3218" w:type="dxa"/>
            <w:gridSpan w:val="2"/>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405,420 </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Total fair value measurements of assets in the statement of financial position</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432,770 </w:t>
            </w: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27,350 </w:t>
            </w: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405,420 </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9214" w:type="dxa"/>
            <w:gridSpan w:val="4"/>
            <w:tcBorders>
              <w:top w:val="nil"/>
              <w:left w:val="nil"/>
              <w:bottom w:val="nil"/>
              <w:right w:val="nil"/>
            </w:tcBorders>
            <w:shd w:val="clear" w:color="auto" w:fill="auto"/>
            <w:noWrap/>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Fair value measurements - highest and best use differs from current use for non-financial assets (NFAs)</w:t>
            </w: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7352" w:type="dxa"/>
            <w:gridSpan w:val="2"/>
            <w:tcBorders>
              <w:top w:val="nil"/>
              <w:left w:val="nil"/>
              <w:bottom w:val="nil"/>
              <w:right w:val="nil"/>
            </w:tcBorders>
            <w:shd w:val="clear" w:color="auto" w:fill="auto"/>
            <w:noWrap/>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The highest and best </w:t>
            </w:r>
            <w:proofErr w:type="gramStart"/>
            <w:r w:rsidRPr="00297816">
              <w:rPr>
                <w:rFonts w:eastAsia="Times New Roman" w:cs="Arial"/>
                <w:sz w:val="18"/>
                <w:szCs w:val="18"/>
                <w:lang w:val="en-AU"/>
              </w:rPr>
              <w:t>use of all non-financial assets are</w:t>
            </w:r>
            <w:proofErr w:type="gramEnd"/>
            <w:r w:rsidRPr="00297816">
              <w:rPr>
                <w:rFonts w:eastAsia="Times New Roman" w:cs="Arial"/>
                <w:sz w:val="18"/>
                <w:szCs w:val="18"/>
                <w:lang w:val="en-AU"/>
              </w:rPr>
              <w:t xml:space="preserve"> the same as their current use.</w:t>
            </w: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86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470"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bl>
    <w:p w:rsidR="00F4551A" w:rsidRDefault="00F4551A">
      <w:r>
        <w:br w:type="page"/>
      </w:r>
    </w:p>
    <w:tbl>
      <w:tblPr>
        <w:tblW w:w="15778" w:type="dxa"/>
        <w:tblInd w:w="108" w:type="dxa"/>
        <w:tblLayout w:type="fixed"/>
        <w:tblLook w:val="04A0"/>
      </w:tblPr>
      <w:tblGrid>
        <w:gridCol w:w="5856"/>
        <w:gridCol w:w="1496"/>
        <w:gridCol w:w="1396"/>
        <w:gridCol w:w="1936"/>
        <w:gridCol w:w="3218"/>
        <w:gridCol w:w="1876"/>
      </w:tblGrid>
      <w:tr w:rsidR="00BF6798" w:rsidRPr="00297816">
        <w:trPr>
          <w:trHeight w:val="240"/>
        </w:trPr>
        <w:tc>
          <w:tcPr>
            <w:tcW w:w="735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5B: Valuation Technique and Inputs for Level 2 and Level 3 Fair Value Measurements</w:t>
            </w: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10684" w:type="dxa"/>
            <w:gridSpan w:val="4"/>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Level 2 and 3 fair value measurements - valuation technique and the inputs used for assets and liabilities in 2014</w:t>
            </w:r>
          </w:p>
        </w:tc>
        <w:tc>
          <w:tcPr>
            <w:tcW w:w="3218"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r w:rsidRPr="00297816">
              <w:rPr>
                <w:rFonts w:eastAsia="Times New Roman" w:cs="Arial"/>
                <w:sz w:val="20"/>
                <w:szCs w:val="20"/>
                <w:lang w:val="en-AU"/>
              </w:rPr>
              <w:t> </w:t>
            </w:r>
          </w:p>
        </w:tc>
        <w:tc>
          <w:tcPr>
            <w:tcW w:w="18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r w:rsidRPr="00297816">
              <w:rPr>
                <w:rFonts w:eastAsia="Times New Roman" w:cs="Arial"/>
                <w:sz w:val="20"/>
                <w:szCs w:val="20"/>
                <w:lang w:val="en-AU"/>
              </w:rPr>
              <w:t> </w:t>
            </w:r>
          </w:p>
        </w:tc>
      </w:tr>
      <w:tr w:rsidR="00BF6798" w:rsidRPr="00297816">
        <w:trPr>
          <w:trHeight w:val="4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Category (Level 2 or Level 3)</w:t>
            </w:r>
          </w:p>
        </w:tc>
        <w:tc>
          <w:tcPr>
            <w:tcW w:w="139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Fair value</w:t>
            </w:r>
          </w:p>
        </w:tc>
        <w:tc>
          <w:tcPr>
            <w:tcW w:w="193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Valuation technique(s)</w:t>
            </w:r>
            <w:r w:rsidRPr="00297816">
              <w:rPr>
                <w:rFonts w:eastAsia="Times New Roman" w:cs="Arial"/>
                <w:b/>
                <w:bCs/>
                <w:sz w:val="18"/>
                <w:szCs w:val="18"/>
                <w:vertAlign w:val="superscript"/>
                <w:lang w:val="en-AU"/>
              </w:rPr>
              <w:t>1</w:t>
            </w:r>
          </w:p>
        </w:tc>
        <w:tc>
          <w:tcPr>
            <w:tcW w:w="3218"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Inputs used</w:t>
            </w:r>
          </w:p>
        </w:tc>
        <w:tc>
          <w:tcPr>
            <w:tcW w:w="187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Range (weighted </w:t>
            </w:r>
            <w:proofErr w:type="gramStart"/>
            <w:r w:rsidRPr="00297816">
              <w:rPr>
                <w:rFonts w:eastAsia="Times New Roman" w:cs="Arial"/>
                <w:b/>
                <w:bCs/>
                <w:sz w:val="18"/>
                <w:szCs w:val="18"/>
                <w:lang w:val="en-AU"/>
              </w:rPr>
              <w:t>average)</w:t>
            </w:r>
            <w:r w:rsidRPr="00297816">
              <w:rPr>
                <w:rFonts w:eastAsia="Times New Roman" w:cs="Arial"/>
                <w:b/>
                <w:bCs/>
                <w:sz w:val="18"/>
                <w:szCs w:val="18"/>
                <w:vertAlign w:val="superscript"/>
                <w:lang w:val="en-AU"/>
              </w:rPr>
              <w:t>2</w:t>
            </w:r>
            <w:proofErr w:type="gramEnd"/>
          </w:p>
        </w:tc>
      </w:tr>
      <w:tr w:rsidR="00BF6798" w:rsidRPr="00297816">
        <w:trPr>
          <w:trHeight w:val="240"/>
        </w:trPr>
        <w:tc>
          <w:tcPr>
            <w:tcW w:w="585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49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396" w:type="dxa"/>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93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r w:rsidRPr="00297816">
              <w:rPr>
                <w:rFonts w:eastAsia="Times New Roman" w:cs="Arial"/>
                <w:sz w:val="20"/>
                <w:szCs w:val="20"/>
                <w:lang w:val="en-AU"/>
              </w:rPr>
              <w:t> </w:t>
            </w:r>
          </w:p>
        </w:tc>
        <w:tc>
          <w:tcPr>
            <w:tcW w:w="3218"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r w:rsidRPr="00297816">
              <w:rPr>
                <w:rFonts w:eastAsia="Times New Roman" w:cs="Arial"/>
                <w:sz w:val="20"/>
                <w:szCs w:val="20"/>
                <w:lang w:val="en-AU"/>
              </w:rPr>
              <w:t> </w:t>
            </w:r>
          </w:p>
        </w:tc>
        <w:tc>
          <w:tcPr>
            <w:tcW w:w="18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r w:rsidRPr="00297816">
              <w:rPr>
                <w:rFonts w:eastAsia="Times New Roman" w:cs="Arial"/>
                <w:sz w:val="20"/>
                <w:szCs w:val="20"/>
                <w:lang w:val="en-AU"/>
              </w:rPr>
              <w:t> </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Non-financial assets</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Other property, plant and equipment</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Level 2</w:t>
            </w: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27,350 </w:t>
            </w:r>
          </w:p>
        </w:tc>
        <w:tc>
          <w:tcPr>
            <w:tcW w:w="193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Market comparables</w:t>
            </w:r>
          </w:p>
        </w:tc>
        <w:tc>
          <w:tcPr>
            <w:tcW w:w="3218"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Sale prices of comparable assets</w:t>
            </w:r>
          </w:p>
        </w:tc>
        <w:tc>
          <w:tcPr>
            <w:tcW w:w="1876" w:type="dxa"/>
            <w:tcBorders>
              <w:top w:val="nil"/>
              <w:left w:val="nil"/>
              <w:bottom w:val="nil"/>
              <w:right w:val="nil"/>
            </w:tcBorders>
            <w:shd w:val="clear" w:color="auto" w:fill="auto"/>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w:t>
            </w:r>
            <w:proofErr w:type="gramStart"/>
            <w:r w:rsidRPr="00297816">
              <w:rPr>
                <w:rFonts w:eastAsia="Times New Roman" w:cs="Arial"/>
                <w:sz w:val="18"/>
                <w:szCs w:val="18"/>
                <w:lang w:val="en-AU"/>
              </w:rPr>
              <w:t xml:space="preserve">-   </w:t>
            </w:r>
            <w:proofErr w:type="gramEnd"/>
          </w:p>
        </w:tc>
      </w:tr>
      <w:tr w:rsidR="00BF6798" w:rsidRPr="00297816">
        <w:trPr>
          <w:trHeight w:val="10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Other property, plant and equipment</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Level 3</w:t>
            </w: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143,720 </w:t>
            </w:r>
          </w:p>
        </w:tc>
        <w:tc>
          <w:tcPr>
            <w:tcW w:w="193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Depreciated replacement cost</w:t>
            </w:r>
          </w:p>
        </w:tc>
        <w:tc>
          <w:tcPr>
            <w:tcW w:w="3218"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Indicative percentage of new cost amounts/ budget quote for similar assets new from a supplier</w:t>
            </w:r>
          </w:p>
        </w:tc>
        <w:tc>
          <w:tcPr>
            <w:tcW w:w="1876" w:type="dxa"/>
            <w:tcBorders>
              <w:top w:val="nil"/>
              <w:left w:val="nil"/>
              <w:bottom w:val="nil"/>
              <w:right w:val="nil"/>
            </w:tcBorders>
            <w:shd w:val="clear" w:color="auto" w:fill="auto"/>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w:t>
            </w:r>
            <w:proofErr w:type="gramStart"/>
            <w:r w:rsidRPr="00297816">
              <w:rPr>
                <w:rFonts w:eastAsia="Times New Roman" w:cs="Arial"/>
                <w:sz w:val="18"/>
                <w:szCs w:val="18"/>
                <w:lang w:val="en-AU"/>
              </w:rPr>
              <w:t xml:space="preserve">-   </w:t>
            </w:r>
            <w:proofErr w:type="gramEnd"/>
          </w:p>
        </w:tc>
      </w:tr>
      <w:tr w:rsidR="00BF6798" w:rsidRPr="00297816">
        <w:trPr>
          <w:trHeight w:val="66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Leasehold improvements</w:t>
            </w:r>
          </w:p>
        </w:tc>
        <w:tc>
          <w:tcPr>
            <w:tcW w:w="149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Level 3</w:t>
            </w:r>
          </w:p>
        </w:tc>
        <w:tc>
          <w:tcPr>
            <w:tcW w:w="139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261,700 </w:t>
            </w:r>
          </w:p>
        </w:tc>
        <w:tc>
          <w:tcPr>
            <w:tcW w:w="1936" w:type="dxa"/>
            <w:tcBorders>
              <w:top w:val="nil"/>
              <w:left w:val="nil"/>
              <w:bottom w:val="single" w:sz="4" w:space="0" w:color="auto"/>
              <w:right w:val="nil"/>
            </w:tcBorders>
            <w:shd w:val="clear" w:color="auto" w:fill="auto"/>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Depreciated replacement cost</w:t>
            </w:r>
          </w:p>
        </w:tc>
        <w:tc>
          <w:tcPr>
            <w:tcW w:w="3218" w:type="dxa"/>
            <w:tcBorders>
              <w:top w:val="nil"/>
              <w:left w:val="nil"/>
              <w:bottom w:val="single" w:sz="4" w:space="0" w:color="auto"/>
              <w:right w:val="nil"/>
            </w:tcBorders>
            <w:shd w:val="clear" w:color="auto" w:fill="auto"/>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Construction costs of comparable leasehold improvements, lease term, inflation rates, and discount rates</w:t>
            </w:r>
          </w:p>
        </w:tc>
        <w:tc>
          <w:tcPr>
            <w:tcW w:w="1876" w:type="dxa"/>
            <w:tcBorders>
              <w:top w:val="nil"/>
              <w:left w:val="nil"/>
              <w:bottom w:val="single" w:sz="4" w:space="0" w:color="auto"/>
              <w:right w:val="nil"/>
            </w:tcBorders>
            <w:shd w:val="clear" w:color="auto" w:fill="auto"/>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w:t>
            </w:r>
            <w:proofErr w:type="gramStart"/>
            <w:r w:rsidRPr="00297816">
              <w:rPr>
                <w:rFonts w:eastAsia="Times New Roman" w:cs="Arial"/>
                <w:sz w:val="18"/>
                <w:szCs w:val="18"/>
                <w:lang w:val="en-AU"/>
              </w:rPr>
              <w:t xml:space="preserve">-   </w:t>
            </w:r>
            <w:proofErr w:type="gramEnd"/>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1. No change in valuation technique occurred during the period.</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8748" w:type="dxa"/>
            <w:gridSpan w:val="3"/>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2. Significant unobservable inputs only. Not applicable for assets or liabilities in the Level 2 category.</w:t>
            </w: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7352"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Recurring and non-recurring Level 3 fair value measurements - valuation processes</w:t>
            </w: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740"/>
        </w:trPr>
        <w:tc>
          <w:tcPr>
            <w:tcW w:w="15778" w:type="dxa"/>
            <w:gridSpan w:val="6"/>
            <w:tcBorders>
              <w:top w:val="nil"/>
              <w:left w:val="nil"/>
              <w:bottom w:val="nil"/>
              <w:right w:val="nil"/>
            </w:tcBorders>
            <w:shd w:val="clear" w:color="auto" w:fill="auto"/>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The entity procured valuation services from B&amp;A Valuers and relied on valuation models provided by B&amp;A Valuers. The entity tests the procedures of the valuation model at least once every 12 months. B&amp;A Valuers provided written assurance to the entity that the model developed is in compliance with AASB 13.</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Recurring Level 3 fair value measurements - sensitivity of inputs</w:t>
            </w: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840"/>
        </w:trPr>
        <w:tc>
          <w:tcPr>
            <w:tcW w:w="15778" w:type="dxa"/>
            <w:gridSpan w:val="6"/>
            <w:tcBorders>
              <w:top w:val="nil"/>
              <w:left w:val="nil"/>
              <w:bottom w:val="nil"/>
              <w:right w:val="nil"/>
            </w:tcBorders>
            <w:shd w:val="clear" w:color="auto" w:fill="auto"/>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The significant unobservable inputs used in the fair value measurement of the entity’s property, plant and equipment are indicative percentages of new cost amounts, or similar new assets. The significant unobservable inputs used in the fair value measurement of the entity’s leasehold improvements are construction costs of comparable leasehold improvements, the lease term, inflation rates and discount rates. Significant increases (decreases) in any of those inputs in isolation would result in a significantly higher (lower) fair value measurement.</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bl>
    <w:p w:rsidR="00F4551A" w:rsidRDefault="00F4551A">
      <w:r>
        <w:br w:type="page"/>
      </w:r>
    </w:p>
    <w:tbl>
      <w:tblPr>
        <w:tblW w:w="15778" w:type="dxa"/>
        <w:tblInd w:w="108" w:type="dxa"/>
        <w:tblLayout w:type="fixed"/>
        <w:tblLook w:val="04A0"/>
      </w:tblPr>
      <w:tblGrid>
        <w:gridCol w:w="5856"/>
        <w:gridCol w:w="381"/>
        <w:gridCol w:w="1115"/>
        <w:gridCol w:w="1012"/>
        <w:gridCol w:w="384"/>
        <w:gridCol w:w="1936"/>
        <w:gridCol w:w="3218"/>
        <w:gridCol w:w="1876"/>
      </w:tblGrid>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5C: Reconciliation for Recurring Level 3 Fair Value Measurements</w:t>
            </w: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3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93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F4551A" w:rsidRPr="00297816">
        <w:trPr>
          <w:trHeight w:val="240"/>
        </w:trPr>
        <w:tc>
          <w:tcPr>
            <w:tcW w:w="15778" w:type="dxa"/>
            <w:gridSpan w:val="8"/>
            <w:tcBorders>
              <w:top w:val="nil"/>
              <w:left w:val="nil"/>
              <w:bottom w:val="single" w:sz="4" w:space="0" w:color="auto"/>
              <w:right w:val="nil"/>
            </w:tcBorders>
            <w:shd w:val="clear" w:color="auto" w:fill="auto"/>
            <w:noWrap/>
            <w:vAlign w:val="bottom"/>
          </w:tcPr>
          <w:p w:rsidR="00F4551A" w:rsidRPr="00F4551A" w:rsidRDefault="00F4551A"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Recurring Level 3 fair value measurements - reconciliation for assets</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9922" w:type="dxa"/>
            <w:gridSpan w:val="7"/>
            <w:tcBorders>
              <w:top w:val="nil"/>
              <w:left w:val="nil"/>
              <w:bottom w:val="nil"/>
              <w:right w:val="nil"/>
            </w:tcBorders>
            <w:shd w:val="clear" w:color="auto" w:fill="auto"/>
            <w:vAlign w:val="bottom"/>
          </w:tcPr>
          <w:p w:rsidR="00BF6798" w:rsidRPr="00297816" w:rsidRDefault="00BF6798" w:rsidP="00BF6798">
            <w:pPr>
              <w:spacing w:after="0" w:line="240" w:lineRule="auto"/>
              <w:jc w:val="center"/>
              <w:rPr>
                <w:rFonts w:eastAsia="Times New Roman" w:cs="Arial"/>
                <w:b/>
                <w:bCs/>
                <w:sz w:val="18"/>
                <w:szCs w:val="18"/>
                <w:lang w:val="en-AU"/>
              </w:rPr>
            </w:pPr>
            <w:r w:rsidRPr="00297816">
              <w:rPr>
                <w:rFonts w:eastAsia="Times New Roman" w:cs="Arial"/>
                <w:b/>
                <w:bCs/>
                <w:sz w:val="18"/>
                <w:szCs w:val="18"/>
                <w:lang w:val="en-AU"/>
              </w:rPr>
              <w:t>Non-financial assets</w:t>
            </w:r>
          </w:p>
        </w:tc>
      </w:tr>
      <w:tr w:rsidR="00BF6798" w:rsidRPr="00297816">
        <w:trPr>
          <w:trHeight w:val="4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Other property, plant and equipment</w:t>
            </w:r>
          </w:p>
        </w:tc>
        <w:tc>
          <w:tcPr>
            <w:tcW w:w="3218"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Leasehold improvements</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Total</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2014 </w:t>
            </w:r>
          </w:p>
        </w:tc>
        <w:tc>
          <w:tcPr>
            <w:tcW w:w="3218"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2014 </w:t>
            </w:r>
          </w:p>
        </w:tc>
        <w:tc>
          <w:tcPr>
            <w:tcW w:w="187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2014 </w:t>
            </w:r>
          </w:p>
        </w:tc>
      </w:tr>
      <w:tr w:rsidR="00BF6798" w:rsidRPr="00297816">
        <w:trPr>
          <w:trHeight w:val="240"/>
        </w:trPr>
        <w:tc>
          <w:tcPr>
            <w:tcW w:w="585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496" w:type="dxa"/>
            <w:gridSpan w:val="2"/>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012"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2320" w:type="dxa"/>
            <w:gridSpan w:val="2"/>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3218" w:type="dxa"/>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876" w:type="dxa"/>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Opening balance</w:t>
            </w: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258,876 </w:t>
            </w: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314,478 </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573,354 </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Total gains/(losses) recognised in net cost of services</w:t>
            </w:r>
            <w:r w:rsidRPr="00297816">
              <w:rPr>
                <w:rFonts w:eastAsia="Times New Roman" w:cs="Arial"/>
                <w:sz w:val="18"/>
                <w:szCs w:val="18"/>
                <w:vertAlign w:val="superscript"/>
                <w:lang w:val="en-AU"/>
              </w:rPr>
              <w:t>1</w:t>
            </w: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(85,894)</w:t>
            </w: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(78,322)</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(164,216)</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Total gains/(losses) recognised in other comprehensive income</w:t>
            </w:r>
            <w:r w:rsidRPr="00297816">
              <w:rPr>
                <w:rFonts w:eastAsia="Times New Roman" w:cs="Arial"/>
                <w:sz w:val="18"/>
                <w:szCs w:val="18"/>
                <w:vertAlign w:val="superscript"/>
                <w:lang w:val="en-AU"/>
              </w:rPr>
              <w:t>2</w:t>
            </w: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(1,912)</w:t>
            </w: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18,954 </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17,042 </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xml:space="preserve">     Purchases</w:t>
            </w: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roofErr w:type="gramStart"/>
            <w:r w:rsidRPr="00297816">
              <w:rPr>
                <w:rFonts w:eastAsia="Times New Roman" w:cs="Arial"/>
                <w:sz w:val="18"/>
                <w:szCs w:val="18"/>
                <w:lang w:val="en-AU"/>
              </w:rPr>
              <w:t xml:space="preserve">-   </w:t>
            </w:r>
            <w:proofErr w:type="gramEnd"/>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6,590 </w:t>
            </w: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6,590 </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Closing balance</w:t>
            </w: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171,070 </w:t>
            </w:r>
          </w:p>
        </w:tc>
        <w:tc>
          <w:tcPr>
            <w:tcW w:w="3218"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261,700 </w:t>
            </w:r>
          </w:p>
        </w:tc>
        <w:tc>
          <w:tcPr>
            <w:tcW w:w="18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432,770 </w:t>
            </w: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585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496"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F4551A" w:rsidRPr="00297816">
        <w:trPr>
          <w:trHeight w:val="240"/>
        </w:trPr>
        <w:tc>
          <w:tcPr>
            <w:tcW w:w="13902" w:type="dxa"/>
            <w:gridSpan w:val="7"/>
            <w:tcBorders>
              <w:top w:val="nil"/>
              <w:left w:val="nil"/>
              <w:bottom w:val="nil"/>
              <w:right w:val="nil"/>
            </w:tcBorders>
            <w:shd w:val="clear" w:color="auto" w:fill="auto"/>
            <w:noWrap/>
            <w:vAlign w:val="bottom"/>
          </w:tcPr>
          <w:p w:rsidR="00F4551A" w:rsidRPr="00297816" w:rsidRDefault="00F4551A" w:rsidP="00BF6798">
            <w:pPr>
              <w:spacing w:after="0" w:line="240" w:lineRule="auto"/>
              <w:rPr>
                <w:rFonts w:eastAsia="Times New Roman" w:cs="Arial"/>
                <w:sz w:val="20"/>
                <w:szCs w:val="20"/>
                <w:lang w:val="en-AU"/>
              </w:rPr>
            </w:pPr>
            <w:r w:rsidRPr="00297816">
              <w:rPr>
                <w:rFonts w:eastAsia="Times New Roman" w:cs="Arial"/>
                <w:sz w:val="18"/>
                <w:szCs w:val="18"/>
                <w:lang w:val="en-AU"/>
              </w:rPr>
              <w:t>PSR's policy for determining when transfers between levels are deemed to have occurred can be found in Note 1.</w:t>
            </w:r>
          </w:p>
        </w:tc>
        <w:tc>
          <w:tcPr>
            <w:tcW w:w="1876" w:type="dxa"/>
            <w:tcBorders>
              <w:top w:val="nil"/>
              <w:left w:val="nil"/>
              <w:bottom w:val="nil"/>
              <w:right w:val="nil"/>
            </w:tcBorders>
            <w:shd w:val="clear" w:color="auto" w:fill="auto"/>
            <w:noWrap/>
            <w:vAlign w:val="bottom"/>
          </w:tcPr>
          <w:p w:rsidR="00F4551A" w:rsidRPr="00297816" w:rsidRDefault="00F4551A" w:rsidP="00BF6798">
            <w:pPr>
              <w:spacing w:after="0" w:line="240" w:lineRule="auto"/>
              <w:rPr>
                <w:rFonts w:eastAsia="Times New Roman" w:cs="Arial"/>
                <w:sz w:val="20"/>
                <w:szCs w:val="20"/>
                <w:lang w:val="en-AU"/>
              </w:rPr>
            </w:pPr>
          </w:p>
        </w:tc>
      </w:tr>
      <w:tr w:rsidR="00BF6798" w:rsidRPr="00297816">
        <w:trPr>
          <w:trHeight w:val="240"/>
        </w:trPr>
        <w:tc>
          <w:tcPr>
            <w:tcW w:w="6237"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15"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6237"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6"/>
                <w:szCs w:val="16"/>
                <w:lang w:val="en-AU"/>
              </w:rPr>
            </w:pPr>
            <w:r w:rsidRPr="00297816">
              <w:rPr>
                <w:rFonts w:eastAsia="Times New Roman" w:cs="Arial"/>
                <w:sz w:val="16"/>
                <w:szCs w:val="16"/>
                <w:lang w:val="en-AU"/>
              </w:rPr>
              <w:t>1. Total gains/(losses) are presented in the Statement of Compehensive Income</w:t>
            </w:r>
          </w:p>
        </w:tc>
        <w:tc>
          <w:tcPr>
            <w:tcW w:w="1115"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r w:rsidR="00BF6798" w:rsidRPr="00297816">
        <w:trPr>
          <w:trHeight w:val="240"/>
        </w:trPr>
        <w:tc>
          <w:tcPr>
            <w:tcW w:w="6237"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6"/>
                <w:szCs w:val="16"/>
                <w:lang w:val="en-AU"/>
              </w:rPr>
            </w:pPr>
            <w:r w:rsidRPr="00297816">
              <w:rPr>
                <w:rFonts w:eastAsia="Times New Roman" w:cs="Arial"/>
                <w:sz w:val="16"/>
                <w:szCs w:val="16"/>
                <w:lang w:val="en-AU"/>
              </w:rPr>
              <w:t>2. Total gains/(losses) are presented in the Statement of Compehensive Income</w:t>
            </w:r>
          </w:p>
        </w:tc>
        <w:tc>
          <w:tcPr>
            <w:tcW w:w="1115"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012"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2320" w:type="dxa"/>
            <w:gridSpan w:val="2"/>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3218"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c>
          <w:tcPr>
            <w:tcW w:w="18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20"/>
                <w:szCs w:val="20"/>
                <w:lang w:val="en-AU"/>
              </w:rPr>
            </w:pPr>
          </w:p>
        </w:tc>
      </w:tr>
    </w:tbl>
    <w:p w:rsidR="00BF6798" w:rsidRDefault="00BF6798"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p>
    <w:p w:rsidR="00297816" w:rsidRDefault="00297816"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sectPr w:rsidR="00297816" w:rsidSect="001E2C73">
          <w:pgSz w:w="16838" w:h="11906" w:orient="landscape"/>
          <w:pgMar w:top="720" w:right="567" w:bottom="720" w:left="567" w:footer="284" w:gutter="0"/>
          <w:noEndnote/>
        </w:sectPr>
      </w:pPr>
    </w:p>
    <w:p w:rsidR="00BF6798" w:rsidRDefault="00BF6798"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p>
    <w:tbl>
      <w:tblPr>
        <w:tblW w:w="10111" w:type="dxa"/>
        <w:tblInd w:w="108" w:type="dxa"/>
        <w:tblLook w:val="04A0"/>
      </w:tblPr>
      <w:tblGrid>
        <w:gridCol w:w="6196"/>
        <w:gridCol w:w="1176"/>
        <w:gridCol w:w="1197"/>
        <w:gridCol w:w="366"/>
        <w:gridCol w:w="1176"/>
      </w:tblGrid>
      <w:tr w:rsidR="00BF6798" w:rsidRPr="00BF6798">
        <w:trPr>
          <w:trHeight w:val="360"/>
        </w:trPr>
        <w:tc>
          <w:tcPr>
            <w:tcW w:w="6196" w:type="dxa"/>
            <w:tcBorders>
              <w:top w:val="nil"/>
              <w:left w:val="nil"/>
              <w:right w:val="nil"/>
            </w:tcBorders>
            <w:shd w:val="clear" w:color="auto" w:fill="auto"/>
            <w:noWrap/>
            <w:vAlign w:val="center"/>
          </w:tcPr>
          <w:p w:rsidR="00BF6798" w:rsidRPr="00BF6798" w:rsidRDefault="00BF6798" w:rsidP="00297816">
            <w:pPr>
              <w:rPr>
                <w:lang w:val="en-AU"/>
              </w:rPr>
            </w:pPr>
            <w:bookmarkStart w:id="324" w:name="RANGE!C1:G70"/>
            <w:r w:rsidRPr="00BF6798">
              <w:rPr>
                <w:lang w:val="en-AU"/>
              </w:rPr>
              <w:t>Notes to and forming part of the financial statements</w:t>
            </w:r>
            <w:bookmarkEnd w:id="324"/>
          </w:p>
        </w:tc>
        <w:tc>
          <w:tcPr>
            <w:tcW w:w="1176" w:type="dxa"/>
            <w:tcBorders>
              <w:top w:val="nil"/>
              <w:left w:val="nil"/>
              <w:right w:val="nil"/>
            </w:tcBorders>
            <w:shd w:val="clear" w:color="auto" w:fill="auto"/>
            <w:noWrap/>
            <w:vAlign w:val="center"/>
          </w:tcPr>
          <w:p w:rsidR="00BF6798" w:rsidRPr="00BF6798" w:rsidRDefault="00BF6798" w:rsidP="00297816">
            <w:pPr>
              <w:rPr>
                <w:lang w:val="en-AU"/>
              </w:rPr>
            </w:pPr>
            <w:r w:rsidRPr="00BF6798">
              <w:rPr>
                <w:lang w:val="en-AU"/>
              </w:rPr>
              <w:t> </w:t>
            </w:r>
          </w:p>
        </w:tc>
        <w:tc>
          <w:tcPr>
            <w:tcW w:w="1197" w:type="dxa"/>
            <w:tcBorders>
              <w:top w:val="nil"/>
              <w:left w:val="nil"/>
              <w:right w:val="nil"/>
            </w:tcBorders>
            <w:shd w:val="clear" w:color="auto" w:fill="auto"/>
            <w:noWrap/>
            <w:vAlign w:val="center"/>
          </w:tcPr>
          <w:p w:rsidR="00BF6798" w:rsidRPr="00BF6798" w:rsidRDefault="00BF6798" w:rsidP="00297816">
            <w:pPr>
              <w:rPr>
                <w:lang w:val="en-AU"/>
              </w:rPr>
            </w:pPr>
            <w:r w:rsidRPr="00BF6798">
              <w:rPr>
                <w:lang w:val="en-AU"/>
              </w:rPr>
              <w:t> </w:t>
            </w:r>
          </w:p>
        </w:tc>
        <w:tc>
          <w:tcPr>
            <w:tcW w:w="366" w:type="dxa"/>
            <w:tcBorders>
              <w:top w:val="nil"/>
              <w:left w:val="nil"/>
              <w:right w:val="nil"/>
            </w:tcBorders>
            <w:shd w:val="clear" w:color="auto" w:fill="auto"/>
            <w:noWrap/>
            <w:vAlign w:val="center"/>
          </w:tcPr>
          <w:p w:rsidR="00BF6798" w:rsidRPr="00BF6798" w:rsidRDefault="00BF6798" w:rsidP="00297816">
            <w:pPr>
              <w:rPr>
                <w:lang w:val="en-AU"/>
              </w:rPr>
            </w:pPr>
            <w:r w:rsidRPr="00BF6798">
              <w:rPr>
                <w:lang w:val="en-AU"/>
              </w:rPr>
              <w:t> </w:t>
            </w:r>
          </w:p>
        </w:tc>
        <w:tc>
          <w:tcPr>
            <w:tcW w:w="1176" w:type="dxa"/>
            <w:tcBorders>
              <w:top w:val="nil"/>
              <w:left w:val="nil"/>
              <w:right w:val="nil"/>
            </w:tcBorders>
            <w:shd w:val="clear" w:color="auto" w:fill="auto"/>
            <w:noWrap/>
            <w:vAlign w:val="center"/>
          </w:tcPr>
          <w:p w:rsidR="00BF6798" w:rsidRPr="00BF6798" w:rsidRDefault="00BF6798" w:rsidP="00297816">
            <w:pPr>
              <w:rPr>
                <w:lang w:val="en-AU"/>
              </w:rPr>
            </w:pPr>
            <w:r w:rsidRPr="00BF6798">
              <w:rPr>
                <w:lang w:val="en-AU"/>
              </w:rPr>
              <w:t> </w:t>
            </w:r>
          </w:p>
        </w:tc>
      </w:tr>
      <w:tr w:rsidR="00BF6798" w:rsidRPr="00BF6798">
        <w:trPr>
          <w:trHeight w:val="300"/>
        </w:trPr>
        <w:tc>
          <w:tcPr>
            <w:tcW w:w="6196" w:type="dxa"/>
            <w:tcBorders>
              <w:left w:val="nil"/>
              <w:bottom w:val="single" w:sz="4" w:space="0" w:color="auto"/>
              <w:right w:val="nil"/>
            </w:tcBorders>
            <w:shd w:val="clear" w:color="auto" w:fill="auto"/>
            <w:noWrap/>
          </w:tcPr>
          <w:p w:rsidR="00BF6798" w:rsidRPr="00BF6798" w:rsidRDefault="00BF6798" w:rsidP="00297816">
            <w:pPr>
              <w:pStyle w:val="Financialsnotehead"/>
            </w:pPr>
            <w:bookmarkStart w:id="325" w:name="RANGE!C2"/>
            <w:r w:rsidRPr="00BF6798">
              <w:t>Note 6: Financial Assets</w:t>
            </w:r>
            <w:bookmarkEnd w:id="325"/>
          </w:p>
        </w:tc>
        <w:tc>
          <w:tcPr>
            <w:tcW w:w="1176" w:type="dxa"/>
            <w:tcBorders>
              <w:left w:val="nil"/>
              <w:bottom w:val="single" w:sz="4" w:space="0" w:color="auto"/>
              <w:right w:val="nil"/>
            </w:tcBorders>
            <w:shd w:val="clear" w:color="auto" w:fill="auto"/>
            <w:noWrap/>
          </w:tcPr>
          <w:p w:rsidR="00BF6798" w:rsidRPr="00BF6798" w:rsidRDefault="00BF6798" w:rsidP="00297816">
            <w:pPr>
              <w:pStyle w:val="Financialsnotehead"/>
            </w:pPr>
            <w:r w:rsidRPr="00BF6798">
              <w:t> </w:t>
            </w:r>
          </w:p>
        </w:tc>
        <w:tc>
          <w:tcPr>
            <w:tcW w:w="1197" w:type="dxa"/>
            <w:tcBorders>
              <w:left w:val="nil"/>
              <w:bottom w:val="single" w:sz="4" w:space="0" w:color="auto"/>
              <w:right w:val="nil"/>
            </w:tcBorders>
            <w:shd w:val="clear" w:color="auto" w:fill="auto"/>
            <w:noWrap/>
          </w:tcPr>
          <w:p w:rsidR="00BF6798" w:rsidRPr="00BF6798" w:rsidRDefault="00BF6798" w:rsidP="00297816">
            <w:pPr>
              <w:pStyle w:val="Financialsnotehead"/>
            </w:pPr>
            <w:r w:rsidRPr="00BF6798">
              <w:t> </w:t>
            </w:r>
          </w:p>
        </w:tc>
        <w:tc>
          <w:tcPr>
            <w:tcW w:w="366" w:type="dxa"/>
            <w:tcBorders>
              <w:left w:val="nil"/>
              <w:bottom w:val="single" w:sz="4" w:space="0" w:color="auto"/>
              <w:right w:val="nil"/>
            </w:tcBorders>
            <w:shd w:val="clear" w:color="auto" w:fill="auto"/>
            <w:noWrap/>
          </w:tcPr>
          <w:p w:rsidR="00BF6798" w:rsidRPr="00BF6798" w:rsidRDefault="00BF6798" w:rsidP="00297816">
            <w:pPr>
              <w:pStyle w:val="Financialsnotehead"/>
            </w:pPr>
            <w:r w:rsidRPr="00BF6798">
              <w:t> </w:t>
            </w:r>
          </w:p>
        </w:tc>
        <w:tc>
          <w:tcPr>
            <w:tcW w:w="1176" w:type="dxa"/>
            <w:tcBorders>
              <w:left w:val="nil"/>
              <w:bottom w:val="single" w:sz="4" w:space="0" w:color="auto"/>
              <w:right w:val="nil"/>
            </w:tcBorders>
            <w:shd w:val="clear" w:color="auto" w:fill="auto"/>
            <w:noWrap/>
          </w:tcPr>
          <w:p w:rsidR="00BF6798" w:rsidRPr="00BF6798" w:rsidRDefault="00BF6798" w:rsidP="00297816">
            <w:pPr>
              <w:pStyle w:val="Financialsnotehead"/>
            </w:pPr>
            <w:r w:rsidRPr="00BF6798">
              <w:t> </w:t>
            </w:r>
          </w:p>
        </w:tc>
      </w:tr>
      <w:tr w:rsidR="00BF6798" w:rsidRPr="00BF6798">
        <w:trPr>
          <w:trHeight w:val="300"/>
        </w:trPr>
        <w:tc>
          <w:tcPr>
            <w:tcW w:w="6196" w:type="dxa"/>
            <w:tcBorders>
              <w:top w:val="single" w:sz="4" w:space="0" w:color="auto"/>
              <w:left w:val="nil"/>
              <w:right w:val="nil"/>
            </w:tcBorders>
            <w:shd w:val="clear" w:color="auto" w:fill="auto"/>
          </w:tcPr>
          <w:p w:rsidR="00BF6798" w:rsidRPr="00297816" w:rsidRDefault="00BF6798" w:rsidP="00BF6798">
            <w:pPr>
              <w:spacing w:after="0" w:line="240" w:lineRule="auto"/>
              <w:rPr>
                <w:rFonts w:eastAsia="Times New Roman" w:cs="Arial"/>
                <w:b/>
                <w:bCs/>
                <w:color w:val="FFFFFF"/>
                <w:sz w:val="18"/>
                <w:szCs w:val="18"/>
                <w:lang w:val="en-AU"/>
              </w:rPr>
            </w:pPr>
          </w:p>
        </w:tc>
        <w:tc>
          <w:tcPr>
            <w:tcW w:w="1176" w:type="dxa"/>
            <w:tcBorders>
              <w:top w:val="single" w:sz="4" w:space="0" w:color="auto"/>
              <w:left w:val="nil"/>
              <w:right w:val="nil"/>
            </w:tcBorders>
            <w:shd w:val="clear" w:color="auto" w:fill="auto"/>
          </w:tcPr>
          <w:p w:rsidR="00BF6798" w:rsidRPr="00297816" w:rsidRDefault="00BF6798" w:rsidP="00BF6798">
            <w:pPr>
              <w:spacing w:after="0" w:line="240" w:lineRule="auto"/>
              <w:rPr>
                <w:rFonts w:eastAsia="Times New Roman" w:cs="Arial"/>
                <w:b/>
                <w:bCs/>
                <w:color w:val="FFFFFF"/>
                <w:sz w:val="18"/>
                <w:szCs w:val="18"/>
                <w:lang w:val="en-AU"/>
              </w:rPr>
            </w:pPr>
          </w:p>
        </w:tc>
        <w:tc>
          <w:tcPr>
            <w:tcW w:w="1197" w:type="dxa"/>
            <w:tcBorders>
              <w:top w:val="single" w:sz="4" w:space="0" w:color="auto"/>
              <w:left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366" w:type="dxa"/>
            <w:tcBorders>
              <w:top w:val="single" w:sz="4" w:space="0" w:color="auto"/>
              <w:left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2014 </w:t>
            </w: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2013 </w:t>
            </w:r>
          </w:p>
        </w:tc>
      </w:tr>
      <w:tr w:rsidR="00BF6798" w:rsidRPr="00BF6798">
        <w:trPr>
          <w:trHeight w:val="240"/>
        </w:trPr>
        <w:tc>
          <w:tcPr>
            <w:tcW w:w="6196" w:type="dxa"/>
            <w:tcBorders>
              <w:top w:val="nil"/>
              <w:left w:val="nil"/>
              <w:bottom w:val="single" w:sz="4" w:space="0" w:color="auto"/>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366" w:type="dxa"/>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single" w:sz="4" w:space="0" w:color="auto"/>
              <w:right w:val="nil"/>
            </w:tcBorders>
            <w:shd w:val="clear" w:color="auto" w:fill="auto"/>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r>
      <w:tr w:rsidR="00BF6798" w:rsidRPr="00BF6798">
        <w:trPr>
          <w:trHeight w:val="240"/>
        </w:trPr>
        <w:tc>
          <w:tcPr>
            <w:tcW w:w="6196" w:type="dxa"/>
            <w:tcBorders>
              <w:top w:val="single" w:sz="4" w:space="0" w:color="auto"/>
              <w:left w:val="nil"/>
              <w:bottom w:val="nil"/>
              <w:right w:val="nil"/>
            </w:tcBorders>
            <w:shd w:val="clear" w:color="auto" w:fill="auto"/>
          </w:tcPr>
          <w:p w:rsidR="00F4551A" w:rsidRDefault="00F4551A" w:rsidP="00BF6798">
            <w:pPr>
              <w:spacing w:after="0" w:line="240" w:lineRule="auto"/>
              <w:rPr>
                <w:rFonts w:eastAsia="Times New Roman" w:cs="Arial"/>
                <w:b/>
                <w:bCs/>
                <w:sz w:val="18"/>
                <w:szCs w:val="18"/>
                <w:u w:val="single"/>
                <w:lang w:val="en-AU"/>
              </w:rPr>
            </w:pPr>
          </w:p>
          <w:p w:rsidR="00BF6798" w:rsidRPr="00297816" w:rsidRDefault="00BF6798" w:rsidP="00BF6798">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6A: Cash and Cash Equivalents</w:t>
            </w:r>
          </w:p>
        </w:tc>
        <w:tc>
          <w:tcPr>
            <w:tcW w:w="1176" w:type="dxa"/>
            <w:tcBorders>
              <w:top w:val="single" w:sz="4" w:space="0" w:color="auto"/>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u w:val="single"/>
                <w:lang w:val="en-AU"/>
              </w:rPr>
            </w:pPr>
          </w:p>
        </w:tc>
        <w:tc>
          <w:tcPr>
            <w:tcW w:w="1197" w:type="dxa"/>
            <w:tcBorders>
              <w:top w:val="single" w:sz="4" w:space="0" w:color="auto"/>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single" w:sz="4" w:space="0" w:color="auto"/>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nil"/>
              <w:right w:val="nil"/>
            </w:tcBorders>
            <w:shd w:val="clear" w:color="auto" w:fill="auto"/>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Cash on hand or on deposit</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78,925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96,226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cash and cash equivalents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bookmarkStart w:id="326" w:name="RANGE!E8"/>
            <w:r w:rsidRPr="00297816">
              <w:rPr>
                <w:rFonts w:eastAsia="Times New Roman" w:cs="Arial"/>
                <w:b/>
                <w:bCs/>
                <w:sz w:val="18"/>
                <w:szCs w:val="18"/>
                <w:lang w:val="en-AU"/>
              </w:rPr>
              <w:t xml:space="preserve">78,925 </w:t>
            </w:r>
            <w:bookmarkEnd w:id="326"/>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bookmarkStart w:id="327" w:name="RANGE!G8"/>
            <w:r w:rsidRPr="00297816">
              <w:rPr>
                <w:rFonts w:eastAsia="Times New Roman" w:cs="Arial"/>
                <w:sz w:val="18"/>
                <w:szCs w:val="18"/>
                <w:lang w:val="en-AU"/>
              </w:rPr>
              <w:t xml:space="preserve">96,226 </w:t>
            </w:r>
            <w:bookmarkEnd w:id="327"/>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6B: Trade and Other Receivables</w:t>
            </w:r>
          </w:p>
        </w:tc>
        <w:tc>
          <w:tcPr>
            <w:tcW w:w="1176" w:type="dxa"/>
            <w:tcBorders>
              <w:top w:val="nil"/>
              <w:left w:val="nil"/>
              <w:bottom w:val="nil"/>
              <w:right w:val="nil"/>
            </w:tcBorders>
            <w:shd w:val="clear" w:color="auto" w:fill="auto"/>
            <w:vAlign w:val="center"/>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Good and services receivables in connection with</w:t>
            </w:r>
          </w:p>
        </w:tc>
        <w:tc>
          <w:tcPr>
            <w:tcW w:w="1176" w:type="dxa"/>
            <w:tcBorders>
              <w:top w:val="nil"/>
              <w:left w:val="nil"/>
              <w:bottom w:val="nil"/>
              <w:right w:val="nil"/>
            </w:tcBorders>
            <w:shd w:val="clear" w:color="auto" w:fill="auto"/>
            <w:vAlign w:val="center"/>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Related parties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4,296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1,135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External parties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6,395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48,885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goods and services receivables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10,691 </w:t>
            </w: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50,020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Appropriations receivable</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center"/>
          </w:tcPr>
          <w:p w:rsidR="00BF6798" w:rsidRPr="00297816" w:rsidRDefault="00BF6798" w:rsidP="009F7D0F">
            <w:pPr>
              <w:spacing w:after="0" w:line="240" w:lineRule="auto"/>
              <w:ind w:firstLineChars="200" w:firstLine="280"/>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Existing programs</w:t>
            </w:r>
          </w:p>
        </w:tc>
        <w:tc>
          <w:tcPr>
            <w:tcW w:w="117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6,349,230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5,126,139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Departmental capital budget</w:t>
            </w:r>
          </w:p>
        </w:tc>
        <w:tc>
          <w:tcPr>
            <w:tcW w:w="117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1,572,513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1,213,073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appropriations receivable</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7,921,743 </w:t>
            </w: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6,339,212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Other receivables</w:t>
            </w:r>
          </w:p>
        </w:tc>
        <w:tc>
          <w:tcPr>
            <w:tcW w:w="1176" w:type="dxa"/>
            <w:tcBorders>
              <w:top w:val="nil"/>
              <w:left w:val="nil"/>
              <w:bottom w:val="nil"/>
              <w:right w:val="nil"/>
            </w:tcBorders>
            <w:shd w:val="clear" w:color="auto" w:fill="auto"/>
            <w:vAlign w:val="center"/>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vAlign w:val="center"/>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GST receivable from the Australian Taxation Office</w:t>
            </w:r>
          </w:p>
        </w:tc>
        <w:tc>
          <w:tcPr>
            <w:tcW w:w="1176" w:type="dxa"/>
            <w:tcBorders>
              <w:top w:val="nil"/>
              <w:left w:val="nil"/>
              <w:bottom w:val="nil"/>
              <w:right w:val="nil"/>
            </w:tcBorders>
            <w:shd w:val="clear" w:color="auto" w:fill="auto"/>
            <w:vAlign w:val="center"/>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9,989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23,988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other receivables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9,989 </w:t>
            </w: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23,988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trade and other receivables (gross)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7,942,423 </w:t>
            </w: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6,413,220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vAlign w:val="center"/>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Less impairment allowance</w:t>
            </w:r>
          </w:p>
        </w:tc>
        <w:tc>
          <w:tcPr>
            <w:tcW w:w="1176" w:type="dxa"/>
            <w:tcBorders>
              <w:top w:val="nil"/>
              <w:left w:val="nil"/>
              <w:bottom w:val="nil"/>
              <w:right w:val="nil"/>
            </w:tcBorders>
            <w:shd w:val="clear" w:color="auto" w:fill="auto"/>
            <w:vAlign w:val="center"/>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Goods and services</w:t>
            </w:r>
          </w:p>
        </w:tc>
        <w:tc>
          <w:tcPr>
            <w:tcW w:w="117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(43,885)</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impairment allowance</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(43,885)</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trade and other receivables (net)</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7,942,423 </w:t>
            </w: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6,369,335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Trade and other receivables (net) expected to be recovered</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No more than 12 months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7,942,423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6,320,450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More than 12 months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48,885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trade and other receivables (net)</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bookmarkStart w:id="328" w:name="RANGE!E35"/>
            <w:r w:rsidRPr="00297816">
              <w:rPr>
                <w:rFonts w:eastAsia="Times New Roman" w:cs="Arial"/>
                <w:b/>
                <w:bCs/>
                <w:sz w:val="18"/>
                <w:szCs w:val="18"/>
                <w:lang w:val="en-AU"/>
              </w:rPr>
              <w:t xml:space="preserve">7,942,423 </w:t>
            </w:r>
            <w:bookmarkEnd w:id="328"/>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bookmarkStart w:id="329" w:name="RANGE!G35"/>
            <w:r w:rsidRPr="00297816">
              <w:rPr>
                <w:rFonts w:eastAsia="Times New Roman" w:cs="Arial"/>
                <w:sz w:val="18"/>
                <w:szCs w:val="18"/>
                <w:lang w:val="en-AU"/>
              </w:rPr>
              <w:t xml:space="preserve">6,369,335 </w:t>
            </w:r>
            <w:bookmarkEnd w:id="329"/>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Trade and other receivables (gross) aged as follows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Not overdue</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7,942,423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6,364,335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Overdue by:</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9F7D0F">
            <w:pPr>
              <w:spacing w:after="0" w:line="240" w:lineRule="auto"/>
              <w:ind w:firstLineChars="300" w:firstLine="420"/>
              <w:rPr>
                <w:rFonts w:eastAsia="Times New Roman" w:cs="Arial"/>
                <w:sz w:val="18"/>
                <w:szCs w:val="18"/>
                <w:lang w:val="en-AU"/>
              </w:rPr>
            </w:pPr>
            <w:r w:rsidRPr="00297816">
              <w:rPr>
                <w:rFonts w:eastAsia="Times New Roman" w:cs="Arial"/>
                <w:sz w:val="18"/>
                <w:szCs w:val="18"/>
                <w:lang w:val="en-AU"/>
              </w:rPr>
              <w:t xml:space="preserve">     More than 90 days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48,885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trade and other receivables (gross)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7,942,423 </w:t>
            </w: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6,413,220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6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Impairment allowance aged as follows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Overdue by:</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9F7D0F">
            <w:pPr>
              <w:spacing w:after="0" w:line="240" w:lineRule="auto"/>
              <w:ind w:firstLineChars="300" w:firstLine="420"/>
              <w:rPr>
                <w:rFonts w:eastAsia="Times New Roman" w:cs="Arial"/>
                <w:sz w:val="18"/>
                <w:szCs w:val="18"/>
                <w:lang w:val="en-AU"/>
              </w:rPr>
            </w:pPr>
            <w:r w:rsidRPr="00297816">
              <w:rPr>
                <w:rFonts w:eastAsia="Times New Roman" w:cs="Arial"/>
                <w:sz w:val="18"/>
                <w:szCs w:val="18"/>
                <w:lang w:val="en-AU"/>
              </w:rPr>
              <w:t xml:space="preserve">     More than 90 days</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366" w:type="dxa"/>
            <w:tcBorders>
              <w:top w:val="nil"/>
              <w:left w:val="nil"/>
              <w:bottom w:val="nil"/>
              <w:right w:val="nil"/>
            </w:tcBorders>
            <w:shd w:val="clear" w:color="auto" w:fill="auto"/>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43,885 </w:t>
            </w:r>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Total impairment allowance</w:t>
            </w: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b/>
                <w:bCs/>
                <w:i/>
                <w:iCs/>
                <w:sz w:val="18"/>
                <w:szCs w:val="18"/>
                <w:lang w:val="en-AU"/>
              </w:rPr>
            </w:pP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bookmarkStart w:id="330" w:name="RANGE!E50"/>
            <w:r w:rsidRPr="00297816">
              <w:rPr>
                <w:rFonts w:eastAsia="Times New Roman" w:cs="Arial"/>
                <w:b/>
                <w:bCs/>
                <w:sz w:val="18"/>
                <w:szCs w:val="18"/>
                <w:lang w:val="en-AU"/>
              </w:rPr>
              <w:t xml:space="preserve"> -</w:t>
            </w:r>
            <w:bookmarkEnd w:id="330"/>
          </w:p>
        </w:tc>
        <w:tc>
          <w:tcPr>
            <w:tcW w:w="366" w:type="dxa"/>
            <w:tcBorders>
              <w:top w:val="nil"/>
              <w:left w:val="nil"/>
              <w:bottom w:val="nil"/>
              <w:right w:val="nil"/>
            </w:tcBorders>
            <w:shd w:val="clear" w:color="auto" w:fill="auto"/>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bookmarkStart w:id="331" w:name="RANGE!G50"/>
            <w:r w:rsidRPr="00297816">
              <w:rPr>
                <w:rFonts w:eastAsia="Times New Roman" w:cs="Arial"/>
                <w:sz w:val="18"/>
                <w:szCs w:val="18"/>
                <w:lang w:val="en-AU"/>
              </w:rPr>
              <w:t xml:space="preserve">43,885 </w:t>
            </w:r>
            <w:bookmarkEnd w:id="331"/>
          </w:p>
        </w:tc>
      </w:tr>
      <w:tr w:rsidR="00BF6798" w:rsidRPr="00BF6798">
        <w:trPr>
          <w:trHeight w:val="240"/>
        </w:trPr>
        <w:tc>
          <w:tcPr>
            <w:tcW w:w="619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r>
    </w:tbl>
    <w:p w:rsidR="00F4551A" w:rsidRDefault="00F4551A">
      <w:r>
        <w:br w:type="page"/>
      </w:r>
    </w:p>
    <w:tbl>
      <w:tblPr>
        <w:tblW w:w="10111" w:type="dxa"/>
        <w:tblInd w:w="108" w:type="dxa"/>
        <w:tblLook w:val="04A0"/>
      </w:tblPr>
      <w:tblGrid>
        <w:gridCol w:w="6196"/>
        <w:gridCol w:w="1176"/>
        <w:gridCol w:w="1197"/>
        <w:gridCol w:w="366"/>
        <w:gridCol w:w="1176"/>
      </w:tblGrid>
      <w:tr w:rsidR="00BF6798" w:rsidRPr="00BF6798">
        <w:trPr>
          <w:trHeight w:val="220"/>
        </w:trPr>
        <w:tc>
          <w:tcPr>
            <w:tcW w:w="6196" w:type="dxa"/>
            <w:tcBorders>
              <w:top w:val="nil"/>
              <w:left w:val="nil"/>
              <w:bottom w:val="nil"/>
              <w:right w:val="nil"/>
            </w:tcBorders>
            <w:shd w:val="clear" w:color="auto" w:fill="auto"/>
            <w:noWrap/>
            <w:vAlign w:val="center"/>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Reconciliation of the Impairment Allowance</w:t>
            </w: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r>
      <w:tr w:rsidR="00BF6798" w:rsidRPr="00BF6798">
        <w:trPr>
          <w:trHeight w:val="60"/>
        </w:trPr>
        <w:tc>
          <w:tcPr>
            <w:tcW w:w="6196" w:type="dxa"/>
            <w:tcBorders>
              <w:top w:val="nil"/>
              <w:left w:val="nil"/>
              <w:bottom w:val="nil"/>
              <w:right w:val="nil"/>
            </w:tcBorders>
            <w:shd w:val="clear" w:color="auto" w:fill="auto"/>
            <w:noWrap/>
            <w:vAlign w:val="center"/>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r>
      <w:tr w:rsidR="00BF6798" w:rsidRPr="00BF6798">
        <w:trPr>
          <w:trHeight w:val="220"/>
        </w:trPr>
        <w:tc>
          <w:tcPr>
            <w:tcW w:w="6196" w:type="dxa"/>
            <w:tcBorders>
              <w:top w:val="nil"/>
              <w:left w:val="nil"/>
              <w:bottom w:val="single" w:sz="4" w:space="0" w:color="auto"/>
              <w:right w:val="nil"/>
            </w:tcBorders>
            <w:shd w:val="clear" w:color="auto" w:fill="auto"/>
            <w:noWrap/>
            <w:vAlign w:val="center"/>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Movements in relation to 2014</w:t>
            </w:r>
          </w:p>
        </w:tc>
        <w:tc>
          <w:tcPr>
            <w:tcW w:w="11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97"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36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r>
      <w:tr w:rsidR="00BF6798" w:rsidRPr="00BF6798">
        <w:trPr>
          <w:trHeight w:val="220"/>
        </w:trPr>
        <w:tc>
          <w:tcPr>
            <w:tcW w:w="6196" w:type="dxa"/>
            <w:tcBorders>
              <w:top w:val="single" w:sz="4" w:space="0" w:color="auto"/>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76" w:type="dxa"/>
            <w:tcBorders>
              <w:top w:val="single" w:sz="4" w:space="0" w:color="auto"/>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Goods and</w:t>
            </w:r>
          </w:p>
        </w:tc>
        <w:tc>
          <w:tcPr>
            <w:tcW w:w="1197" w:type="dxa"/>
            <w:tcBorders>
              <w:top w:val="single" w:sz="4" w:space="0" w:color="auto"/>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Other</w:t>
            </w:r>
          </w:p>
        </w:tc>
        <w:tc>
          <w:tcPr>
            <w:tcW w:w="366" w:type="dxa"/>
            <w:tcBorders>
              <w:top w:val="single" w:sz="4" w:space="0" w:color="auto"/>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r>
      <w:tr w:rsidR="00BF6798" w:rsidRPr="00BF6798">
        <w:trPr>
          <w:trHeight w:val="220"/>
        </w:trPr>
        <w:tc>
          <w:tcPr>
            <w:tcW w:w="61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roofErr w:type="gramStart"/>
            <w:r w:rsidRPr="00297816">
              <w:rPr>
                <w:rFonts w:eastAsia="Times New Roman" w:cs="Arial"/>
                <w:b/>
                <w:bCs/>
                <w:sz w:val="18"/>
                <w:szCs w:val="18"/>
                <w:lang w:val="en-AU"/>
              </w:rPr>
              <w:t>services</w:t>
            </w:r>
            <w:proofErr w:type="gramEnd"/>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roofErr w:type="gramStart"/>
            <w:r w:rsidRPr="00297816">
              <w:rPr>
                <w:rFonts w:eastAsia="Times New Roman" w:cs="Arial"/>
                <w:b/>
                <w:bCs/>
                <w:sz w:val="18"/>
                <w:szCs w:val="18"/>
                <w:lang w:val="en-AU"/>
              </w:rPr>
              <w:t>receivables</w:t>
            </w:r>
            <w:proofErr w:type="gramEnd"/>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Total</w:t>
            </w:r>
          </w:p>
        </w:tc>
      </w:tr>
      <w:tr w:rsidR="00BF6798" w:rsidRPr="00BF6798">
        <w:trPr>
          <w:trHeight w:val="220"/>
        </w:trPr>
        <w:tc>
          <w:tcPr>
            <w:tcW w:w="619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197"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36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Opening balance</w:t>
            </w: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(43,885)</w:t>
            </w: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(43,885)</w:t>
            </w:r>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Amounts written off</w:t>
            </w: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43,885 </w:t>
            </w: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43,885 </w:t>
            </w:r>
          </w:p>
        </w:tc>
      </w:tr>
      <w:tr w:rsidR="00BF6798" w:rsidRPr="00BF6798">
        <w:trPr>
          <w:trHeight w:val="240"/>
        </w:trPr>
        <w:tc>
          <w:tcPr>
            <w:tcW w:w="619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Closing balance</w:t>
            </w: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36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b/>
                <w:bCs/>
                <w:sz w:val="18"/>
                <w:szCs w:val="18"/>
                <w:lang w:val="en-AU"/>
              </w:rPr>
            </w:pPr>
            <w:bookmarkStart w:id="332" w:name="RANGE!G61"/>
            <w:r w:rsidRPr="00297816">
              <w:rPr>
                <w:rFonts w:eastAsia="Times New Roman" w:cs="Arial"/>
                <w:b/>
                <w:bCs/>
                <w:sz w:val="18"/>
                <w:szCs w:val="18"/>
                <w:lang w:val="en-AU"/>
              </w:rPr>
              <w:t xml:space="preserve"> -</w:t>
            </w:r>
            <w:bookmarkEnd w:id="332"/>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r>
      <w:tr w:rsidR="00BF6798" w:rsidRPr="00BF6798">
        <w:trPr>
          <w:trHeight w:val="240"/>
        </w:trPr>
        <w:tc>
          <w:tcPr>
            <w:tcW w:w="619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Movements in relation to 2013</w:t>
            </w:r>
          </w:p>
        </w:tc>
        <w:tc>
          <w:tcPr>
            <w:tcW w:w="11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97"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36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Goods and</w:t>
            </w:r>
          </w:p>
        </w:tc>
        <w:tc>
          <w:tcPr>
            <w:tcW w:w="1197" w:type="dxa"/>
            <w:tcBorders>
              <w:top w:val="single" w:sz="4" w:space="0" w:color="auto"/>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Other</w:t>
            </w: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roofErr w:type="gramStart"/>
            <w:r w:rsidRPr="00297816">
              <w:rPr>
                <w:rFonts w:eastAsia="Times New Roman" w:cs="Arial"/>
                <w:sz w:val="18"/>
                <w:szCs w:val="18"/>
                <w:lang w:val="en-AU"/>
              </w:rPr>
              <w:t>services</w:t>
            </w:r>
            <w:proofErr w:type="gramEnd"/>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roofErr w:type="gramStart"/>
            <w:r w:rsidRPr="00297816">
              <w:rPr>
                <w:rFonts w:eastAsia="Times New Roman" w:cs="Arial"/>
                <w:sz w:val="18"/>
                <w:szCs w:val="18"/>
                <w:lang w:val="en-AU"/>
              </w:rPr>
              <w:t>receivables</w:t>
            </w:r>
            <w:proofErr w:type="gramEnd"/>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Total</w:t>
            </w:r>
          </w:p>
        </w:tc>
      </w:tr>
      <w:tr w:rsidR="00BF6798" w:rsidRPr="00BF6798">
        <w:trPr>
          <w:trHeight w:val="240"/>
        </w:trPr>
        <w:tc>
          <w:tcPr>
            <w:tcW w:w="619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197"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36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Opening balance</w:t>
            </w: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(52,421)</w:t>
            </w: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(52,421)</w:t>
            </w:r>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Amounts recovered and reversed</w:t>
            </w: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6,236 </w:t>
            </w: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6,236 </w:t>
            </w:r>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Amounts written off</w:t>
            </w: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2,300 </w:t>
            </w: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2,300 </w:t>
            </w:r>
          </w:p>
        </w:tc>
      </w:tr>
      <w:tr w:rsidR="00BF6798" w:rsidRPr="00BF6798">
        <w:trPr>
          <w:trHeight w:val="240"/>
        </w:trPr>
        <w:tc>
          <w:tcPr>
            <w:tcW w:w="619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rPr>
                <w:rFonts w:eastAsia="Times New Roman" w:cs="Arial"/>
                <w:b/>
                <w:bCs/>
                <w:sz w:val="18"/>
                <w:szCs w:val="18"/>
                <w:lang w:val="en-AU"/>
              </w:rPr>
            </w:pPr>
            <w:r w:rsidRPr="00297816">
              <w:rPr>
                <w:rFonts w:eastAsia="Times New Roman" w:cs="Arial"/>
                <w:b/>
                <w:bCs/>
                <w:sz w:val="18"/>
                <w:szCs w:val="18"/>
                <w:lang w:val="en-AU"/>
              </w:rPr>
              <w:t>Closing balance</w:t>
            </w: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(43,885)</w:t>
            </w:r>
          </w:p>
        </w:tc>
        <w:tc>
          <w:tcPr>
            <w:tcW w:w="1197"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36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BF6798" w:rsidRPr="00297816" w:rsidRDefault="00BF6798" w:rsidP="00BF6798">
            <w:pPr>
              <w:spacing w:after="0" w:line="240" w:lineRule="auto"/>
              <w:jc w:val="right"/>
              <w:rPr>
                <w:rFonts w:eastAsia="Times New Roman" w:cs="Arial"/>
                <w:sz w:val="18"/>
                <w:szCs w:val="18"/>
                <w:lang w:val="en-AU"/>
              </w:rPr>
            </w:pPr>
            <w:bookmarkStart w:id="333" w:name="RANGE!G70"/>
            <w:r w:rsidRPr="00297816">
              <w:rPr>
                <w:rFonts w:eastAsia="Times New Roman" w:cs="Arial"/>
                <w:sz w:val="18"/>
                <w:szCs w:val="18"/>
                <w:lang w:val="en-AU"/>
              </w:rPr>
              <w:t>(43,885)</w:t>
            </w:r>
            <w:bookmarkEnd w:id="333"/>
          </w:p>
        </w:tc>
      </w:tr>
      <w:tr w:rsidR="00BF6798" w:rsidRPr="00BF6798">
        <w:trPr>
          <w:trHeight w:val="240"/>
        </w:trPr>
        <w:tc>
          <w:tcPr>
            <w:tcW w:w="619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97"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36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BF6798" w:rsidRPr="00297816" w:rsidRDefault="00BF6798" w:rsidP="00BF6798">
            <w:pPr>
              <w:spacing w:after="0" w:line="240" w:lineRule="auto"/>
              <w:rPr>
                <w:rFonts w:eastAsia="Times New Roman" w:cs="Arial"/>
                <w:sz w:val="18"/>
                <w:szCs w:val="18"/>
                <w:lang w:val="en-AU"/>
              </w:rPr>
            </w:pPr>
          </w:p>
        </w:tc>
      </w:tr>
    </w:tbl>
    <w:p w:rsidR="00EB5679" w:rsidRDefault="00EB5679"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sectPr w:rsidR="00EB5679" w:rsidSect="001E2C73">
          <w:pgSz w:w="11906" w:h="16838"/>
          <w:pgMar w:top="567" w:right="720" w:bottom="567" w:left="720" w:footer="284" w:gutter="0"/>
          <w:noEndnote/>
        </w:sectPr>
      </w:pPr>
    </w:p>
    <w:tbl>
      <w:tblPr>
        <w:tblW w:w="11731" w:type="dxa"/>
        <w:tblInd w:w="108" w:type="dxa"/>
        <w:tblLook w:val="04A0"/>
      </w:tblPr>
      <w:tblGrid>
        <w:gridCol w:w="5450"/>
        <w:gridCol w:w="1066"/>
        <w:gridCol w:w="271"/>
        <w:gridCol w:w="1176"/>
        <w:gridCol w:w="1416"/>
        <w:gridCol w:w="1176"/>
        <w:gridCol w:w="1176"/>
      </w:tblGrid>
      <w:tr w:rsidR="00EB5679" w:rsidRPr="00EB5679">
        <w:trPr>
          <w:trHeight w:val="360"/>
        </w:trPr>
        <w:tc>
          <w:tcPr>
            <w:tcW w:w="6516" w:type="dxa"/>
            <w:gridSpan w:val="2"/>
            <w:tcBorders>
              <w:top w:val="nil"/>
              <w:left w:val="nil"/>
              <w:right w:val="nil"/>
            </w:tcBorders>
            <w:shd w:val="clear" w:color="auto" w:fill="auto"/>
            <w:noWrap/>
            <w:vAlign w:val="center"/>
          </w:tcPr>
          <w:p w:rsidR="00EB5679" w:rsidRPr="00EB5679" w:rsidRDefault="00EB5679" w:rsidP="00297816">
            <w:pPr>
              <w:rPr>
                <w:lang w:val="en-AU"/>
              </w:rPr>
            </w:pPr>
            <w:r w:rsidRPr="00EB5679">
              <w:rPr>
                <w:lang w:val="en-AU"/>
              </w:rPr>
              <w:t>Notes to and forming part of the financial statements</w:t>
            </w:r>
          </w:p>
        </w:tc>
        <w:tc>
          <w:tcPr>
            <w:tcW w:w="271" w:type="dxa"/>
            <w:tcBorders>
              <w:top w:val="nil"/>
              <w:left w:val="nil"/>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176" w:type="dxa"/>
            <w:tcBorders>
              <w:top w:val="nil"/>
              <w:left w:val="nil"/>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416" w:type="dxa"/>
            <w:tcBorders>
              <w:top w:val="nil"/>
              <w:left w:val="nil"/>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176" w:type="dxa"/>
            <w:tcBorders>
              <w:top w:val="nil"/>
              <w:left w:val="nil"/>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176" w:type="dxa"/>
            <w:tcBorders>
              <w:top w:val="nil"/>
              <w:left w:val="nil"/>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r>
      <w:tr w:rsidR="00EB5679" w:rsidRPr="00EB5679">
        <w:trPr>
          <w:trHeight w:val="260"/>
        </w:trPr>
        <w:tc>
          <w:tcPr>
            <w:tcW w:w="5450" w:type="dxa"/>
            <w:tcBorders>
              <w:top w:val="nil"/>
              <w:left w:val="nil"/>
              <w:bottom w:val="single" w:sz="4" w:space="0" w:color="auto"/>
              <w:right w:val="nil"/>
            </w:tcBorders>
            <w:shd w:val="clear" w:color="auto" w:fill="auto"/>
            <w:noWrap/>
          </w:tcPr>
          <w:p w:rsidR="00EB5679" w:rsidRPr="00EB5679" w:rsidRDefault="00EB5679" w:rsidP="00297816">
            <w:pPr>
              <w:pStyle w:val="Financialsnotehead"/>
            </w:pPr>
            <w:r w:rsidRPr="00EB5679">
              <w:t>Note 7: Non-Financial Assets</w:t>
            </w:r>
          </w:p>
        </w:tc>
        <w:tc>
          <w:tcPr>
            <w:tcW w:w="1066" w:type="dxa"/>
            <w:tcBorders>
              <w:top w:val="nil"/>
              <w:left w:val="nil"/>
              <w:bottom w:val="single" w:sz="4" w:space="0" w:color="auto"/>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271" w:type="dxa"/>
            <w:tcBorders>
              <w:top w:val="nil"/>
              <w:left w:val="nil"/>
              <w:bottom w:val="single" w:sz="4" w:space="0" w:color="auto"/>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416" w:type="dxa"/>
            <w:tcBorders>
              <w:top w:val="nil"/>
              <w:left w:val="nil"/>
              <w:bottom w:val="single" w:sz="4" w:space="0" w:color="auto"/>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r>
      <w:tr w:rsidR="00EB5679" w:rsidRPr="00EB5679">
        <w:trPr>
          <w:trHeight w:val="180"/>
        </w:trPr>
        <w:tc>
          <w:tcPr>
            <w:tcW w:w="5450" w:type="dxa"/>
            <w:tcBorders>
              <w:top w:val="single" w:sz="4" w:space="0" w:color="auto"/>
              <w:left w:val="nil"/>
              <w:bottom w:val="nil"/>
              <w:right w:val="nil"/>
            </w:tcBorders>
            <w:shd w:val="clear" w:color="auto" w:fill="auto"/>
          </w:tcPr>
          <w:p w:rsidR="00EB5679" w:rsidRPr="00EB5679" w:rsidRDefault="00EB5679" w:rsidP="00EB5679">
            <w:pPr>
              <w:spacing w:after="0" w:line="240" w:lineRule="auto"/>
              <w:rPr>
                <w:rFonts w:ascii="Times New Roman" w:eastAsia="Times New Roman" w:hAnsi="Times New Roman" w:cs="Times New Roman"/>
                <w:b/>
                <w:bCs/>
                <w:sz w:val="18"/>
                <w:szCs w:val="18"/>
                <w:lang w:val="en-AU"/>
              </w:rPr>
            </w:pPr>
          </w:p>
        </w:tc>
        <w:tc>
          <w:tcPr>
            <w:tcW w:w="1066" w:type="dxa"/>
            <w:tcBorders>
              <w:top w:val="single" w:sz="4" w:space="0" w:color="auto"/>
              <w:left w:val="nil"/>
              <w:bottom w:val="nil"/>
              <w:right w:val="nil"/>
            </w:tcBorders>
            <w:shd w:val="clear" w:color="auto" w:fill="auto"/>
          </w:tcPr>
          <w:p w:rsidR="00EB5679" w:rsidRPr="00EB5679" w:rsidRDefault="00EB5679" w:rsidP="00EB5679">
            <w:pPr>
              <w:spacing w:after="0" w:line="240" w:lineRule="auto"/>
              <w:jc w:val="right"/>
              <w:rPr>
                <w:rFonts w:ascii="Times New Roman" w:eastAsia="Times New Roman" w:hAnsi="Times New Roman" w:cs="Times New Roman"/>
                <w:b/>
                <w:bCs/>
                <w:sz w:val="18"/>
                <w:szCs w:val="18"/>
                <w:lang w:val="en-AU"/>
              </w:rPr>
            </w:pPr>
          </w:p>
        </w:tc>
        <w:tc>
          <w:tcPr>
            <w:tcW w:w="271" w:type="dxa"/>
            <w:tcBorders>
              <w:top w:val="single" w:sz="4" w:space="0" w:color="auto"/>
              <w:left w:val="nil"/>
              <w:bottom w:val="nil"/>
              <w:right w:val="nil"/>
            </w:tcBorders>
            <w:shd w:val="clear" w:color="auto" w:fill="auto"/>
            <w:noWrap/>
            <w:vAlign w:val="bottom"/>
          </w:tcPr>
          <w:p w:rsidR="00EB5679" w:rsidRPr="00EB5679" w:rsidRDefault="00EB5679" w:rsidP="00EB5679">
            <w:pPr>
              <w:spacing w:after="0" w:line="240" w:lineRule="auto"/>
              <w:rPr>
                <w:rFonts w:ascii="Times New Roman" w:eastAsia="Times New Roman" w:hAnsi="Times New Roman" w:cs="Times New Roman"/>
                <w:sz w:val="18"/>
                <w:szCs w:val="18"/>
                <w:lang w:val="en-AU"/>
              </w:rPr>
            </w:pPr>
          </w:p>
        </w:tc>
        <w:tc>
          <w:tcPr>
            <w:tcW w:w="1176" w:type="dxa"/>
            <w:tcBorders>
              <w:top w:val="single" w:sz="4" w:space="0" w:color="auto"/>
              <w:left w:val="nil"/>
              <w:bottom w:val="nil"/>
              <w:right w:val="nil"/>
            </w:tcBorders>
            <w:shd w:val="clear" w:color="auto" w:fill="auto"/>
          </w:tcPr>
          <w:p w:rsidR="00EB5679" w:rsidRPr="00EB5679" w:rsidRDefault="00EB5679" w:rsidP="00EB5679">
            <w:pPr>
              <w:spacing w:after="0" w:line="240" w:lineRule="auto"/>
              <w:jc w:val="right"/>
              <w:rPr>
                <w:rFonts w:ascii="Times New Roman" w:eastAsia="Times New Roman" w:hAnsi="Times New Roman" w:cs="Times New Roman"/>
                <w:sz w:val="18"/>
                <w:szCs w:val="18"/>
                <w:lang w:val="en-AU"/>
              </w:rPr>
            </w:pPr>
          </w:p>
        </w:tc>
        <w:tc>
          <w:tcPr>
            <w:tcW w:w="1416" w:type="dxa"/>
            <w:tcBorders>
              <w:top w:val="single" w:sz="4" w:space="0" w:color="auto"/>
              <w:left w:val="nil"/>
              <w:bottom w:val="nil"/>
              <w:right w:val="nil"/>
            </w:tcBorders>
            <w:shd w:val="clear" w:color="auto" w:fill="auto"/>
            <w:noWrap/>
            <w:vAlign w:val="bottom"/>
          </w:tcPr>
          <w:p w:rsidR="00EB5679" w:rsidRPr="00EB5679" w:rsidRDefault="00EB5679" w:rsidP="00EB5679">
            <w:pPr>
              <w:spacing w:after="0" w:line="240" w:lineRule="auto"/>
              <w:rPr>
                <w:rFonts w:ascii="Times New Roman" w:eastAsia="Times New Roman" w:hAnsi="Times New Roman" w:cs="Times New Roman"/>
                <w:sz w:val="18"/>
                <w:szCs w:val="18"/>
                <w:lang w:val="en-AU"/>
              </w:rPr>
            </w:pPr>
          </w:p>
        </w:tc>
        <w:tc>
          <w:tcPr>
            <w:tcW w:w="1176" w:type="dxa"/>
            <w:tcBorders>
              <w:top w:val="single" w:sz="4" w:space="0" w:color="auto"/>
              <w:left w:val="nil"/>
              <w:bottom w:val="nil"/>
              <w:right w:val="nil"/>
            </w:tcBorders>
            <w:shd w:val="clear" w:color="auto" w:fill="auto"/>
            <w:noWrap/>
            <w:vAlign w:val="bottom"/>
          </w:tcPr>
          <w:p w:rsidR="00EB5679" w:rsidRPr="00EB5679" w:rsidRDefault="00EB5679" w:rsidP="00EB5679">
            <w:pPr>
              <w:spacing w:after="0" w:line="240" w:lineRule="auto"/>
              <w:rPr>
                <w:rFonts w:ascii="Times New Roman" w:eastAsia="Times New Roman" w:hAnsi="Times New Roman" w:cs="Times New Roman"/>
                <w:sz w:val="18"/>
                <w:szCs w:val="18"/>
                <w:lang w:val="en-AU"/>
              </w:rPr>
            </w:pPr>
          </w:p>
        </w:tc>
        <w:tc>
          <w:tcPr>
            <w:tcW w:w="1176" w:type="dxa"/>
            <w:tcBorders>
              <w:top w:val="single" w:sz="4" w:space="0" w:color="auto"/>
              <w:left w:val="nil"/>
              <w:bottom w:val="nil"/>
              <w:right w:val="nil"/>
            </w:tcBorders>
            <w:shd w:val="clear" w:color="auto" w:fill="auto"/>
            <w:noWrap/>
            <w:vAlign w:val="bottom"/>
          </w:tcPr>
          <w:p w:rsidR="00EB5679" w:rsidRPr="00EB5679" w:rsidRDefault="00EB5679" w:rsidP="00EB5679">
            <w:pPr>
              <w:spacing w:after="0" w:line="240" w:lineRule="auto"/>
              <w:rPr>
                <w:rFonts w:ascii="Times New Roman" w:eastAsia="Times New Roman" w:hAnsi="Times New Roman" w:cs="Times New Roman"/>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2014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2013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lang w:val="en-AU"/>
              </w:rPr>
            </w:pP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7A:  Land and Buildings</w:t>
            </w:r>
          </w:p>
        </w:tc>
        <w:tc>
          <w:tcPr>
            <w:tcW w:w="1066"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Leasehold improvements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Fair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261,700 </w:t>
            </w: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394,442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Accumulated depreciation</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(79,964)</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Total leasehold improvements</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261,700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314,478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Total land and buildings</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261,700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314,478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6787" w:type="dxa"/>
            <w:gridSpan w:val="3"/>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480"/>
        </w:trPr>
        <w:tc>
          <w:tcPr>
            <w:tcW w:w="10555" w:type="dxa"/>
            <w:gridSpan w:val="6"/>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xml:space="preserve">Leasehold improvements were subject to revaluation in 2013-14. </w:t>
            </w:r>
            <w:r w:rsidRPr="00297816">
              <w:rPr>
                <w:rFonts w:eastAsia="Times New Roman" w:cs="Arial"/>
                <w:sz w:val="18"/>
                <w:szCs w:val="18"/>
                <w:lang w:val="en-AU"/>
              </w:rPr>
              <w:br/>
              <w:t>The carrying amount of $261,700 (2013: $314,478) was included in the valuation figures above.</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100"/>
        </w:trPr>
        <w:tc>
          <w:tcPr>
            <w:tcW w:w="7963" w:type="dxa"/>
            <w:gridSpan w:val="4"/>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7963" w:type="dxa"/>
            <w:gridSpan w:val="4"/>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No indicators of impairment were found for land and buildings.</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320"/>
        </w:trPr>
        <w:tc>
          <w:tcPr>
            <w:tcW w:w="7963" w:type="dxa"/>
            <w:gridSpan w:val="4"/>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xml:space="preserve">No land or buildings </w:t>
            </w:r>
            <w:proofErr w:type="gramStart"/>
            <w:r w:rsidRPr="00297816">
              <w:rPr>
                <w:rFonts w:eastAsia="Times New Roman" w:cs="Arial"/>
                <w:sz w:val="18"/>
                <w:szCs w:val="18"/>
                <w:lang w:val="en-AU"/>
              </w:rPr>
              <w:t>are expected to be sold or</w:t>
            </w:r>
            <w:proofErr w:type="gramEnd"/>
            <w:r w:rsidRPr="00297816">
              <w:rPr>
                <w:rFonts w:eastAsia="Times New Roman" w:cs="Arial"/>
                <w:sz w:val="18"/>
                <w:szCs w:val="18"/>
                <w:lang w:val="en-AU"/>
              </w:rPr>
              <w:t xml:space="preserve"> disposed of within the next 12 months.</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18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2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2014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2013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7B:  Property, Plant and Equipment</w:t>
            </w: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u w:val="single"/>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u w:val="single"/>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u w:val="single"/>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Other property, plant and equipment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i/>
                <w:iCs/>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Fair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171,070 </w:t>
            </w: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348,659 </w:t>
            </w: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i/>
                <w:iCs/>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i/>
                <w:iCs/>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Accumulated depreciation</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(89,783)</w:t>
            </w:r>
          </w:p>
        </w:tc>
        <w:tc>
          <w:tcPr>
            <w:tcW w:w="141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Total other property, plant and equipment</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171,070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258,876 </w:t>
            </w:r>
          </w:p>
        </w:tc>
        <w:tc>
          <w:tcPr>
            <w:tcW w:w="141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Total property, plant and equipment</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171,070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258,876 </w:t>
            </w:r>
          </w:p>
        </w:tc>
        <w:tc>
          <w:tcPr>
            <w:tcW w:w="141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520"/>
        </w:trPr>
        <w:tc>
          <w:tcPr>
            <w:tcW w:w="10555" w:type="dxa"/>
            <w:gridSpan w:val="6"/>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xml:space="preserve">Property, plant and equipment were subject to revaluation in 2013-14. </w:t>
            </w:r>
            <w:r w:rsidRPr="00297816">
              <w:rPr>
                <w:rFonts w:eastAsia="Times New Roman" w:cs="Arial"/>
                <w:sz w:val="18"/>
                <w:szCs w:val="18"/>
                <w:lang w:val="en-AU"/>
              </w:rPr>
              <w:br/>
              <w:t xml:space="preserve">The carrying amount of $171,070 (2013: $258,876) was included in the valuation figures above.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8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color w:val="0000D4"/>
                <w:sz w:val="18"/>
                <w:szCs w:val="18"/>
                <w:lang w:val="en-AU"/>
              </w:rPr>
            </w:pP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color w:val="0000D4"/>
                <w:sz w:val="18"/>
                <w:szCs w:val="18"/>
                <w:lang w:val="en-AU"/>
              </w:rPr>
            </w:pPr>
          </w:p>
        </w:tc>
        <w:tc>
          <w:tcPr>
            <w:tcW w:w="271"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color w:val="0000D4"/>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color w:val="0000D4"/>
                <w:sz w:val="18"/>
                <w:szCs w:val="18"/>
                <w:lang w:val="en-AU"/>
              </w:rPr>
            </w:pP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6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320"/>
        </w:trPr>
        <w:tc>
          <w:tcPr>
            <w:tcW w:w="10555" w:type="dxa"/>
            <w:gridSpan w:val="6"/>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xml:space="preserve">No property, plant or equipment </w:t>
            </w:r>
            <w:proofErr w:type="gramStart"/>
            <w:r w:rsidRPr="00297816">
              <w:rPr>
                <w:rFonts w:eastAsia="Times New Roman" w:cs="Arial"/>
                <w:sz w:val="18"/>
                <w:szCs w:val="18"/>
                <w:lang w:val="en-AU"/>
              </w:rPr>
              <w:t>is expected to be sold or</w:t>
            </w:r>
            <w:proofErr w:type="gramEnd"/>
            <w:r w:rsidRPr="00297816">
              <w:rPr>
                <w:rFonts w:eastAsia="Times New Roman" w:cs="Arial"/>
                <w:sz w:val="18"/>
                <w:szCs w:val="18"/>
                <w:lang w:val="en-AU"/>
              </w:rPr>
              <w:t xml:space="preserve"> disposed of within the next 12 months.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8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Revaluations of non-financial assets</w:t>
            </w: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360"/>
        </w:trPr>
        <w:tc>
          <w:tcPr>
            <w:tcW w:w="7963" w:type="dxa"/>
            <w:gridSpan w:val="4"/>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xml:space="preserve">All revaluations were conducted in accordance with the revaluation policy stated at Note 1. </w:t>
            </w: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620"/>
        </w:trPr>
        <w:tc>
          <w:tcPr>
            <w:tcW w:w="10555" w:type="dxa"/>
            <w:gridSpan w:val="6"/>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During 2013-14, B&amp;A Valuers conducted a full valuation of PSR's assets as at 30 June 2014. Assets on hand were revalued at the reporting date whilst additions subsequently purchased were excluded from the revaluation.</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360"/>
        </w:trPr>
        <w:tc>
          <w:tcPr>
            <w:tcW w:w="10555" w:type="dxa"/>
            <w:gridSpan w:val="6"/>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xml:space="preserve">Revaluation increments at 30 June 2014 included $18,954 for leasehold improvements, and $7,718 for office equipment.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7963" w:type="dxa"/>
            <w:gridSpan w:val="4"/>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 net revaluation decrement of $19,958 for computer equipment was expensed.</w:t>
            </w: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bl>
    <w:p w:rsidR="00F4551A" w:rsidRDefault="00F4551A">
      <w:r>
        <w:br w:type="page"/>
      </w:r>
    </w:p>
    <w:tbl>
      <w:tblPr>
        <w:tblW w:w="11731" w:type="dxa"/>
        <w:tblInd w:w="108" w:type="dxa"/>
        <w:tblLook w:val="04A0"/>
      </w:tblPr>
      <w:tblGrid>
        <w:gridCol w:w="5450"/>
        <w:gridCol w:w="1066"/>
        <w:gridCol w:w="271"/>
        <w:gridCol w:w="1176"/>
        <w:gridCol w:w="1416"/>
        <w:gridCol w:w="1176"/>
        <w:gridCol w:w="1176"/>
      </w:tblGrid>
      <w:tr w:rsidR="00EB5679" w:rsidRPr="00297816">
        <w:trPr>
          <w:trHeight w:val="240"/>
        </w:trPr>
        <w:tc>
          <w:tcPr>
            <w:tcW w:w="11731" w:type="dxa"/>
            <w:gridSpan w:val="7"/>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7C:  Reconciliation of the Opening and Closing Balances of Property, Plant and Equipment for 2014</w:t>
            </w:r>
          </w:p>
        </w:tc>
      </w:tr>
      <w:tr w:rsidR="00EB5679" w:rsidRPr="00297816">
        <w:trPr>
          <w:trHeight w:val="102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center"/>
              <w:rPr>
                <w:rFonts w:eastAsia="Times New Roman" w:cs="Arial"/>
                <w:b/>
                <w:bCs/>
                <w:sz w:val="18"/>
                <w:szCs w:val="18"/>
                <w:lang w:val="en-AU"/>
              </w:rPr>
            </w:pPr>
            <w:r w:rsidRPr="00297816">
              <w:rPr>
                <w:rFonts w:eastAsia="Times New Roman" w:cs="Arial"/>
                <w:b/>
                <w:bCs/>
                <w:sz w:val="18"/>
                <w:szCs w:val="18"/>
                <w:lang w:val="en-AU"/>
              </w:rPr>
              <w:t>Buildings</w:t>
            </w:r>
          </w:p>
        </w:tc>
        <w:tc>
          <w:tcPr>
            <w:tcW w:w="1416" w:type="dxa"/>
            <w:tcBorders>
              <w:top w:val="nil"/>
              <w:left w:val="nil"/>
              <w:bottom w:val="nil"/>
              <w:right w:val="nil"/>
            </w:tcBorders>
            <w:shd w:val="clear" w:color="auto" w:fill="auto"/>
            <w:vAlign w:val="bottom"/>
          </w:tcPr>
          <w:p w:rsidR="00EB5679" w:rsidRPr="00297816" w:rsidRDefault="00EB5679" w:rsidP="00EB5679">
            <w:pPr>
              <w:spacing w:after="0" w:line="240" w:lineRule="auto"/>
              <w:jc w:val="center"/>
              <w:rPr>
                <w:rFonts w:eastAsia="Times New Roman" w:cs="Arial"/>
                <w:b/>
                <w:bCs/>
                <w:sz w:val="18"/>
                <w:szCs w:val="18"/>
                <w:lang w:val="en-AU"/>
              </w:rPr>
            </w:pPr>
            <w:r w:rsidRPr="00297816">
              <w:rPr>
                <w:rFonts w:eastAsia="Times New Roman" w:cs="Arial"/>
                <w:b/>
                <w:bCs/>
                <w:sz w:val="18"/>
                <w:szCs w:val="18"/>
                <w:lang w:val="en-AU"/>
              </w:rPr>
              <w:t>Total land and buildings</w:t>
            </w: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center"/>
              <w:rPr>
                <w:rFonts w:eastAsia="Times New Roman" w:cs="Arial"/>
                <w:b/>
                <w:bCs/>
                <w:sz w:val="18"/>
                <w:szCs w:val="18"/>
                <w:lang w:val="en-AU"/>
              </w:rPr>
            </w:pPr>
            <w:r w:rsidRPr="00297816">
              <w:rPr>
                <w:rFonts w:eastAsia="Times New Roman" w:cs="Arial"/>
                <w:b/>
                <w:bCs/>
                <w:sz w:val="18"/>
                <w:szCs w:val="18"/>
                <w:lang w:val="en-AU"/>
              </w:rPr>
              <w:t>Other property, plant &amp; equipment</w:t>
            </w: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Total</w:t>
            </w: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41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r>
      <w:tr w:rsidR="00EB5679" w:rsidRPr="00297816">
        <w:trPr>
          <w:trHeight w:val="240"/>
        </w:trPr>
        <w:tc>
          <w:tcPr>
            <w:tcW w:w="5450"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As at 1 July 2013</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Gross book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394,442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394,442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348,659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743,101 </w:t>
            </w: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Accumulated depreciation and impairment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(79,964)</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(79,964)</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(89,783)</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(169,747)</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Net book value 1 July 2013</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314,478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314,478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258,876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573,354 </w:t>
            </w:r>
          </w:p>
        </w:tc>
      </w:tr>
      <w:tr w:rsidR="00EB5679" w:rsidRPr="00297816">
        <w:trPr>
          <w:trHeight w:val="240"/>
        </w:trPr>
        <w:tc>
          <w:tcPr>
            <w:tcW w:w="5450"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Additions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bookmarkStart w:id="334" w:name="RANGE!H47"/>
            <w:bookmarkEnd w:id="334"/>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bookmarkStart w:id="335" w:name="RANGE!I47"/>
            <w:bookmarkEnd w:id="335"/>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By purchase - cash additions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6,590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6,590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6,590 </w:t>
            </w:r>
          </w:p>
        </w:tc>
      </w:tr>
      <w:tr w:rsidR="00EB5679" w:rsidRPr="00297816">
        <w:trPr>
          <w:trHeight w:val="240"/>
        </w:trPr>
        <w:tc>
          <w:tcPr>
            <w:tcW w:w="5450"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Revaluations recognised in other comprehensive income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18,954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18,954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7,718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26,672 </w:t>
            </w:r>
          </w:p>
        </w:tc>
      </w:tr>
      <w:tr w:rsidR="00EB5679" w:rsidRPr="00297816">
        <w:trPr>
          <w:trHeight w:val="240"/>
        </w:trPr>
        <w:tc>
          <w:tcPr>
            <w:tcW w:w="6516" w:type="dxa"/>
            <w:gridSpan w:val="2"/>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Reversal of revaluation previously recognised in other comprehensive income</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(9,630)</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(9,630)</w:t>
            </w:r>
          </w:p>
        </w:tc>
      </w:tr>
      <w:tr w:rsidR="00EB5679" w:rsidRPr="00297816">
        <w:trPr>
          <w:trHeight w:val="240"/>
        </w:trPr>
        <w:tc>
          <w:tcPr>
            <w:tcW w:w="5450"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Reversal of impairments recognised in net cost of services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2,342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2,342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Depreciation expense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(78,322)</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(78,322)</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(56,230)</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(134,552)</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Impairments recognised in the operating result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(19,958)</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(19,958)</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Disposals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xml:space="preserve">     Other</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(12,048)</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(12,048)</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Net book value 30 June 2014</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261,700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261,700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171,070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432,770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Net book value as of 30 June 2014 represented by:</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Gross book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261,700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261,700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171,070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432,770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Accumulated depreciation and impairment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Net book value 30 June 2014</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261,700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261,700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171,070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432,770 </w:t>
            </w: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11731" w:type="dxa"/>
            <w:gridSpan w:val="7"/>
            <w:tcBorders>
              <w:top w:val="nil"/>
              <w:left w:val="nil"/>
              <w:bottom w:val="nil"/>
              <w:right w:val="nil"/>
            </w:tcBorders>
            <w:shd w:val="clear" w:color="auto" w:fill="auto"/>
            <w:noWrap/>
          </w:tcPr>
          <w:p w:rsidR="00F4551A" w:rsidRDefault="00F4551A" w:rsidP="00EB5679">
            <w:pPr>
              <w:spacing w:after="0" w:line="240" w:lineRule="auto"/>
              <w:rPr>
                <w:rFonts w:eastAsia="Times New Roman" w:cs="Arial"/>
                <w:sz w:val="18"/>
                <w:szCs w:val="18"/>
                <w:u w:val="single"/>
                <w:lang w:val="en-AU"/>
              </w:rPr>
            </w:pPr>
          </w:p>
          <w:p w:rsidR="00EB5679" w:rsidRPr="00297816" w:rsidRDefault="00EB5679" w:rsidP="00EB5679">
            <w:pPr>
              <w:spacing w:after="0" w:line="240" w:lineRule="auto"/>
              <w:rPr>
                <w:rFonts w:eastAsia="Times New Roman" w:cs="Arial"/>
                <w:sz w:val="18"/>
                <w:szCs w:val="18"/>
                <w:u w:val="single"/>
                <w:lang w:val="en-AU"/>
              </w:rPr>
            </w:pPr>
            <w:r w:rsidRPr="00297816">
              <w:rPr>
                <w:rFonts w:eastAsia="Times New Roman" w:cs="Arial"/>
                <w:sz w:val="18"/>
                <w:szCs w:val="18"/>
                <w:u w:val="single"/>
                <w:lang w:val="en-AU"/>
              </w:rPr>
              <w:t>Note 7C (Cont'd):  Reconciliation of the Opening and Closing Balances of Property, Plant and Equipment for 2013</w:t>
            </w:r>
          </w:p>
        </w:tc>
      </w:tr>
      <w:tr w:rsidR="00EB5679" w:rsidRPr="00297816">
        <w:trPr>
          <w:trHeight w:val="240"/>
        </w:trPr>
        <w:tc>
          <w:tcPr>
            <w:tcW w:w="5450"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b/>
                <w:bCs/>
                <w:sz w:val="18"/>
                <w:szCs w:val="18"/>
                <w:u w:val="single"/>
                <w:lang w:val="en-AU"/>
              </w:rPr>
            </w:pPr>
          </w:p>
        </w:tc>
        <w:tc>
          <w:tcPr>
            <w:tcW w:w="1066"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b/>
                <w:bCs/>
                <w:sz w:val="18"/>
                <w:szCs w:val="18"/>
                <w:u w:val="single"/>
                <w:lang w:val="en-AU"/>
              </w:rPr>
            </w:pPr>
          </w:p>
        </w:tc>
        <w:tc>
          <w:tcPr>
            <w:tcW w:w="271"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b/>
                <w:bCs/>
                <w:sz w:val="18"/>
                <w:szCs w:val="18"/>
                <w:u w:val="single"/>
                <w:lang w:val="en-AU"/>
              </w:rPr>
            </w:pPr>
          </w:p>
        </w:tc>
        <w:tc>
          <w:tcPr>
            <w:tcW w:w="1176"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b/>
                <w:bCs/>
                <w:sz w:val="18"/>
                <w:szCs w:val="18"/>
                <w:u w:val="single"/>
                <w:lang w:val="en-AU"/>
              </w:rPr>
            </w:pPr>
          </w:p>
        </w:tc>
        <w:tc>
          <w:tcPr>
            <w:tcW w:w="1416"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b/>
                <w:bCs/>
                <w:sz w:val="18"/>
                <w:szCs w:val="18"/>
                <w:u w:val="single"/>
                <w:lang w:val="en-AU"/>
              </w:rPr>
            </w:pPr>
          </w:p>
        </w:tc>
        <w:tc>
          <w:tcPr>
            <w:tcW w:w="1176"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b/>
                <w:bCs/>
                <w:sz w:val="18"/>
                <w:szCs w:val="18"/>
                <w:u w:val="single"/>
                <w:lang w:val="en-AU"/>
              </w:rPr>
            </w:pPr>
          </w:p>
        </w:tc>
        <w:tc>
          <w:tcPr>
            <w:tcW w:w="1176"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b/>
                <w:bCs/>
                <w:sz w:val="18"/>
                <w:szCs w:val="18"/>
                <w:u w:val="single"/>
                <w:lang w:val="en-AU"/>
              </w:rPr>
            </w:pPr>
          </w:p>
        </w:tc>
      </w:tr>
      <w:tr w:rsidR="00EB5679" w:rsidRPr="00297816">
        <w:trPr>
          <w:trHeight w:val="102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center"/>
              <w:rPr>
                <w:rFonts w:eastAsia="Times New Roman" w:cs="Arial"/>
                <w:sz w:val="18"/>
                <w:szCs w:val="18"/>
                <w:lang w:val="en-AU"/>
              </w:rPr>
            </w:pPr>
            <w:r w:rsidRPr="00297816">
              <w:rPr>
                <w:rFonts w:eastAsia="Times New Roman" w:cs="Arial"/>
                <w:sz w:val="18"/>
                <w:szCs w:val="18"/>
                <w:lang w:val="en-AU"/>
              </w:rPr>
              <w:t>Buildings</w:t>
            </w:r>
          </w:p>
        </w:tc>
        <w:tc>
          <w:tcPr>
            <w:tcW w:w="1416" w:type="dxa"/>
            <w:tcBorders>
              <w:top w:val="nil"/>
              <w:left w:val="nil"/>
              <w:bottom w:val="nil"/>
              <w:right w:val="nil"/>
            </w:tcBorders>
            <w:shd w:val="clear" w:color="auto" w:fill="auto"/>
            <w:vAlign w:val="bottom"/>
          </w:tcPr>
          <w:p w:rsidR="00EB5679" w:rsidRPr="00297816" w:rsidRDefault="00EB5679" w:rsidP="00EB5679">
            <w:pPr>
              <w:spacing w:after="0" w:line="240" w:lineRule="auto"/>
              <w:jc w:val="center"/>
              <w:rPr>
                <w:rFonts w:eastAsia="Times New Roman" w:cs="Arial"/>
                <w:sz w:val="18"/>
                <w:szCs w:val="18"/>
                <w:lang w:val="en-AU"/>
              </w:rPr>
            </w:pPr>
            <w:r w:rsidRPr="00297816">
              <w:rPr>
                <w:rFonts w:eastAsia="Times New Roman" w:cs="Arial"/>
                <w:sz w:val="18"/>
                <w:szCs w:val="18"/>
                <w:lang w:val="en-AU"/>
              </w:rPr>
              <w:t>Total land and buildings</w:t>
            </w: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center"/>
              <w:rPr>
                <w:rFonts w:eastAsia="Times New Roman" w:cs="Arial"/>
                <w:sz w:val="18"/>
                <w:szCs w:val="18"/>
                <w:lang w:val="en-AU"/>
              </w:rPr>
            </w:pPr>
            <w:r w:rsidRPr="00297816">
              <w:rPr>
                <w:rFonts w:eastAsia="Times New Roman" w:cs="Arial"/>
                <w:sz w:val="18"/>
                <w:szCs w:val="18"/>
                <w:lang w:val="en-AU"/>
              </w:rPr>
              <w:t>Other property, plant &amp; equipment</w:t>
            </w: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Total</w:t>
            </w: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271"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41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r>
      <w:tr w:rsidR="00EB5679" w:rsidRPr="00297816">
        <w:trPr>
          <w:trHeight w:val="240"/>
        </w:trPr>
        <w:tc>
          <w:tcPr>
            <w:tcW w:w="5450"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As at 1 July 2012</w:t>
            </w:r>
          </w:p>
        </w:tc>
        <w:tc>
          <w:tcPr>
            <w:tcW w:w="1066"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416"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Gross book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394,442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394,442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176,376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570,818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Accumulated depreciation and impairment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(1,893)</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(1,893)</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(19,151)</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(21,044)</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Net book value 1 July 2012</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392,549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392,549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157,225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549,774 </w:t>
            </w:r>
          </w:p>
        </w:tc>
      </w:tr>
      <w:tr w:rsidR="00EB5679" w:rsidRPr="00297816">
        <w:trPr>
          <w:trHeight w:val="240"/>
        </w:trPr>
        <w:tc>
          <w:tcPr>
            <w:tcW w:w="5450" w:type="dxa"/>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Additions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bookmarkStart w:id="336" w:name="RANGE!H71"/>
            <w:bookmarkEnd w:id="336"/>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bookmarkStart w:id="337" w:name="RANGE!I71"/>
            <w:bookmarkEnd w:id="337"/>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By purchase - cash additions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175,182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175,182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Depreciation expense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(78,071)</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(78,071)</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(70,844)</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(148,915)</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Impairments recognised in the operating result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Disposals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xml:space="preserve">     Other</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(2,687)</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(2,687)</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Net book value 30 June 2013</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314,478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314,478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258,876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573,354 </w:t>
            </w:r>
          </w:p>
        </w:tc>
      </w:tr>
      <w:tr w:rsidR="00EB5679" w:rsidRPr="00297816">
        <w:trPr>
          <w:trHeight w:val="240"/>
        </w:trPr>
        <w:tc>
          <w:tcPr>
            <w:tcW w:w="5450" w:type="dxa"/>
            <w:tcBorders>
              <w:top w:val="nil"/>
              <w:left w:val="nil"/>
              <w:bottom w:val="nil"/>
              <w:right w:val="nil"/>
            </w:tcBorders>
            <w:shd w:val="clear" w:color="auto" w:fill="auto"/>
            <w:noWrap/>
          </w:tcPr>
          <w:p w:rsidR="00EB5679" w:rsidRPr="00297816" w:rsidRDefault="00EB5679" w:rsidP="009F7D0F">
            <w:pPr>
              <w:spacing w:after="0" w:line="240" w:lineRule="auto"/>
              <w:ind w:firstLineChars="200" w:firstLine="280"/>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Net book value as of 30 June 2013 represented by:</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Gross book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394,442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394,442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348,659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743,101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Accumulated depreciation and impairment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(79,964)</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(79,964)</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(89,783)</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(169,747)</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Net book value 30 June 2013</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314,478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314,478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258,876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573,354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i/>
                <w:iCs/>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2014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2013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7D:  Intangibles</w:t>
            </w: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Computer software</w:t>
            </w:r>
          </w:p>
        </w:tc>
        <w:tc>
          <w:tcPr>
            <w:tcW w:w="106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Internally developed – in progress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13,560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roofErr w:type="gramStart"/>
            <w:r w:rsidRPr="00297816">
              <w:rPr>
                <w:rFonts w:eastAsia="Times New Roman" w:cs="Arial"/>
                <w:b/>
                <w:bCs/>
                <w:sz w:val="18"/>
                <w:szCs w:val="18"/>
                <w:lang w:val="en-AU"/>
              </w:rPr>
              <w:t xml:space="preserve">-   </w:t>
            </w:r>
            <w:proofErr w:type="gramEnd"/>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Internally developed – in use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215,526 </w:t>
            </w: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215,526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Purchased</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219,363 </w:t>
            </w: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207,478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Accumulated amortisation</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(415,019)</w:t>
            </w: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(396,096)</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Total computer software</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33,430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26,908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Total intangibles</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33,430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26,908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12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i/>
                <w:iCs/>
                <w:sz w:val="18"/>
                <w:szCs w:val="18"/>
                <w:lang w:val="en-AU"/>
              </w:rPr>
            </w:pPr>
          </w:p>
        </w:tc>
        <w:tc>
          <w:tcPr>
            <w:tcW w:w="106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11731" w:type="dxa"/>
            <w:gridSpan w:val="7"/>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Intangible assets were assessed for impairment at 30 June 2014. No indicators of impairment were found for intangible assets (2013: $0).</w:t>
            </w:r>
          </w:p>
        </w:tc>
      </w:tr>
      <w:tr w:rsidR="00EB5679" w:rsidRPr="00297816">
        <w:trPr>
          <w:trHeight w:val="6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7963" w:type="dxa"/>
            <w:gridSpan w:val="4"/>
            <w:tcBorders>
              <w:top w:val="nil"/>
              <w:left w:val="nil"/>
              <w:bottom w:val="nil"/>
              <w:right w:val="nil"/>
            </w:tcBorders>
            <w:shd w:val="clear" w:color="auto" w:fill="auto"/>
            <w:noWrap/>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xml:space="preserve">No intangibles </w:t>
            </w:r>
            <w:proofErr w:type="gramStart"/>
            <w:r w:rsidRPr="00297816">
              <w:rPr>
                <w:rFonts w:eastAsia="Times New Roman" w:cs="Arial"/>
                <w:sz w:val="18"/>
                <w:szCs w:val="18"/>
                <w:lang w:val="en-AU"/>
              </w:rPr>
              <w:t>are expected to be sold or</w:t>
            </w:r>
            <w:proofErr w:type="gramEnd"/>
            <w:r w:rsidRPr="00297816">
              <w:rPr>
                <w:rFonts w:eastAsia="Times New Roman" w:cs="Arial"/>
                <w:sz w:val="18"/>
                <w:szCs w:val="18"/>
                <w:lang w:val="en-AU"/>
              </w:rPr>
              <w:t xml:space="preserve"> disposed of within the next 12 months.</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bl>
    <w:p w:rsidR="00F4551A" w:rsidRDefault="00F4551A">
      <w:r>
        <w:br w:type="page"/>
      </w:r>
    </w:p>
    <w:tbl>
      <w:tblPr>
        <w:tblW w:w="11731" w:type="dxa"/>
        <w:tblInd w:w="108" w:type="dxa"/>
        <w:tblLook w:val="04A0"/>
      </w:tblPr>
      <w:tblGrid>
        <w:gridCol w:w="5450"/>
        <w:gridCol w:w="1066"/>
        <w:gridCol w:w="271"/>
        <w:gridCol w:w="1176"/>
        <w:gridCol w:w="1416"/>
        <w:gridCol w:w="1176"/>
        <w:gridCol w:w="1176"/>
      </w:tblGrid>
      <w:tr w:rsidR="00EB5679" w:rsidRPr="00297816">
        <w:trPr>
          <w:trHeight w:val="240"/>
        </w:trPr>
        <w:tc>
          <w:tcPr>
            <w:tcW w:w="10555" w:type="dxa"/>
            <w:gridSpan w:val="6"/>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7E:  Reconciliation of the Opening and Closing Balances of Intangibles for 2014</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066"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271"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416"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r>
      <w:tr w:rsidR="00EB5679" w:rsidRPr="00297816">
        <w:trPr>
          <w:trHeight w:val="102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lang w:val="en-AU"/>
              </w:rPr>
            </w:pPr>
          </w:p>
        </w:tc>
        <w:tc>
          <w:tcPr>
            <w:tcW w:w="1066"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416"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Computer software internally developed</w:t>
            </w:r>
          </w:p>
        </w:tc>
        <w:tc>
          <w:tcPr>
            <w:tcW w:w="1176"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roofErr w:type="gramStart"/>
            <w:r w:rsidRPr="00297816">
              <w:rPr>
                <w:rFonts w:eastAsia="Times New Roman" w:cs="Arial"/>
                <w:b/>
                <w:bCs/>
                <w:sz w:val="18"/>
                <w:szCs w:val="18"/>
                <w:lang w:val="en-AU"/>
              </w:rPr>
              <w:t>Computer  software</w:t>
            </w:r>
            <w:proofErr w:type="gramEnd"/>
            <w:r w:rsidRPr="00297816">
              <w:rPr>
                <w:rFonts w:eastAsia="Times New Roman" w:cs="Arial"/>
                <w:b/>
                <w:bCs/>
                <w:sz w:val="18"/>
                <w:szCs w:val="18"/>
                <w:lang w:val="en-AU"/>
              </w:rPr>
              <w:t xml:space="preserve"> purchased</w:t>
            </w:r>
          </w:p>
        </w:tc>
        <w:tc>
          <w:tcPr>
            <w:tcW w:w="1176" w:type="dxa"/>
            <w:tcBorders>
              <w:top w:val="single" w:sz="4" w:space="0" w:color="auto"/>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Total</w:t>
            </w:r>
          </w:p>
        </w:tc>
      </w:tr>
      <w:tr w:rsidR="00EB5679" w:rsidRPr="00297816">
        <w:trPr>
          <w:trHeight w:val="240"/>
        </w:trPr>
        <w:tc>
          <w:tcPr>
            <w:tcW w:w="5450" w:type="dxa"/>
            <w:tcBorders>
              <w:top w:val="nil"/>
              <w:left w:val="nil"/>
              <w:bottom w:val="single" w:sz="4" w:space="0" w:color="auto"/>
              <w:right w:val="nil"/>
            </w:tcBorders>
            <w:shd w:val="clear" w:color="auto" w:fill="auto"/>
            <w:vAlign w:val="center"/>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06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41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As at 1 July 2013</w:t>
            </w: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Gross book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215,526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207,478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423,004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Accumulated amortisation and impairment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(206,765)</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(189,331)</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(396,096)</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Net book value 1 July 2013</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8,761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18,147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26,908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Additions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bookmarkStart w:id="338" w:name="RANGE!I108"/>
            <w:bookmarkEnd w:id="338"/>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 xml:space="preserve">By purchase </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13,560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11,885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25,445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Impairments recognised in the operating result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Amortisation</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(5,298)</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(13,625)</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(18,923)</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Disposals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color w:val="000000"/>
                <w:sz w:val="18"/>
                <w:szCs w:val="18"/>
                <w:lang w:val="en-AU"/>
              </w:rPr>
            </w:pPr>
            <w:r w:rsidRPr="00297816">
              <w:rPr>
                <w:rFonts w:eastAsia="Times New Roman" w:cs="Arial"/>
                <w:color w:val="000000"/>
                <w:sz w:val="18"/>
                <w:szCs w:val="18"/>
                <w:lang w:val="en-AU"/>
              </w:rPr>
              <w:t>Other</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Net book value 30 June 2014</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17,023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16,407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33,430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Net book value as of 30 June 2014 represented by:</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Gross book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229,086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219,363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448,449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Accumulated amortisation and impairment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(212,063)</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(202,956)</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(415,019)</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Net book value 30 June 2014</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17,023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16,407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33,430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r>
      <w:tr w:rsidR="00EB5679" w:rsidRPr="00297816">
        <w:trPr>
          <w:trHeight w:val="240"/>
        </w:trPr>
        <w:tc>
          <w:tcPr>
            <w:tcW w:w="11731" w:type="dxa"/>
            <w:gridSpan w:val="7"/>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bl>
    <w:p w:rsidR="00F4551A" w:rsidRDefault="00F4551A">
      <w:r>
        <w:br w:type="page"/>
      </w:r>
    </w:p>
    <w:tbl>
      <w:tblPr>
        <w:tblW w:w="11731" w:type="dxa"/>
        <w:tblInd w:w="108" w:type="dxa"/>
        <w:tblLook w:val="04A0"/>
      </w:tblPr>
      <w:tblGrid>
        <w:gridCol w:w="5450"/>
        <w:gridCol w:w="1066"/>
        <w:gridCol w:w="271"/>
        <w:gridCol w:w="1176"/>
        <w:gridCol w:w="1416"/>
        <w:gridCol w:w="1176"/>
        <w:gridCol w:w="1176"/>
      </w:tblGrid>
      <w:tr w:rsidR="00EB5679" w:rsidRPr="00297816">
        <w:trPr>
          <w:trHeight w:val="240"/>
        </w:trPr>
        <w:tc>
          <w:tcPr>
            <w:tcW w:w="10555" w:type="dxa"/>
            <w:gridSpan w:val="6"/>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u w:val="single"/>
                <w:lang w:val="en-AU"/>
              </w:rPr>
            </w:pPr>
            <w:r w:rsidRPr="00297816">
              <w:rPr>
                <w:rFonts w:eastAsia="Times New Roman" w:cs="Arial"/>
                <w:sz w:val="18"/>
                <w:szCs w:val="18"/>
                <w:u w:val="single"/>
                <w:lang w:val="en-AU"/>
              </w:rPr>
              <w:t>Note 7E (Cont'd):  Reconciliation of the Opening and Closing Balances of Intangibles for 2013</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 </w:t>
            </w:r>
          </w:p>
        </w:tc>
        <w:tc>
          <w:tcPr>
            <w:tcW w:w="106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41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r>
      <w:tr w:rsidR="00EB5679" w:rsidRPr="00297816">
        <w:trPr>
          <w:trHeight w:val="880"/>
        </w:trPr>
        <w:tc>
          <w:tcPr>
            <w:tcW w:w="5450"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Computer software internally developed</w:t>
            </w: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roofErr w:type="gramStart"/>
            <w:r w:rsidRPr="00297816">
              <w:rPr>
                <w:rFonts w:eastAsia="Times New Roman" w:cs="Arial"/>
                <w:sz w:val="18"/>
                <w:szCs w:val="18"/>
                <w:lang w:val="en-AU"/>
              </w:rPr>
              <w:t>Computer  software</w:t>
            </w:r>
            <w:proofErr w:type="gramEnd"/>
            <w:r w:rsidRPr="00297816">
              <w:rPr>
                <w:rFonts w:eastAsia="Times New Roman" w:cs="Arial"/>
                <w:sz w:val="18"/>
                <w:szCs w:val="18"/>
                <w:lang w:val="en-AU"/>
              </w:rPr>
              <w:t xml:space="preserve"> purchased</w:t>
            </w: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Total</w:t>
            </w:r>
          </w:p>
        </w:tc>
      </w:tr>
      <w:tr w:rsidR="00EB5679" w:rsidRPr="00297816">
        <w:trPr>
          <w:trHeight w:val="240"/>
        </w:trPr>
        <w:tc>
          <w:tcPr>
            <w:tcW w:w="5450"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 </w:t>
            </w:r>
          </w:p>
        </w:tc>
        <w:tc>
          <w:tcPr>
            <w:tcW w:w="106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271"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41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As at 1 July 2012</w:t>
            </w: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Gross book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215,526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183,815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399,341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Accumulated amortisation and impairment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(200,941)</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(163,398)</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(364,339)</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Net book value 1 July 2012</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14,585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20,417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35,002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Additions*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bookmarkStart w:id="339" w:name="RANGE!I131"/>
            <w:bookmarkEnd w:id="339"/>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 xml:space="preserve">By purchase </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23,663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23,663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Impairments recognised in the operating result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Amortisation</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(5,824)</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(25,933)</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(31,757)</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Disposals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color w:val="000000"/>
                <w:sz w:val="18"/>
                <w:szCs w:val="18"/>
                <w:lang w:val="en-AU"/>
              </w:rPr>
            </w:pPr>
            <w:r w:rsidRPr="00297816">
              <w:rPr>
                <w:rFonts w:eastAsia="Times New Roman" w:cs="Arial"/>
                <w:color w:val="000000"/>
                <w:sz w:val="18"/>
                <w:szCs w:val="18"/>
                <w:lang w:val="en-AU"/>
              </w:rPr>
              <w:t>Other</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Net book value 30 June 2013</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8,761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18,147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26,908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Net book value as of 30 June 2013 represented by:</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Gross book value</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215,526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207,478 </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423,004 </w:t>
            </w: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Accumulated amortisation and impairment</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(206,765)</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(189,331)</w:t>
            </w: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(396,096)</w:t>
            </w:r>
          </w:p>
        </w:tc>
      </w:tr>
      <w:tr w:rsidR="00EB5679" w:rsidRPr="00297816">
        <w:trPr>
          <w:trHeight w:val="240"/>
        </w:trPr>
        <w:tc>
          <w:tcPr>
            <w:tcW w:w="5450" w:type="dxa"/>
            <w:tcBorders>
              <w:top w:val="single" w:sz="4" w:space="0" w:color="auto"/>
              <w:left w:val="nil"/>
              <w:bottom w:val="single" w:sz="4" w:space="0" w:color="auto"/>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Net book value 30 June 2013</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271"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w:t>
            </w:r>
          </w:p>
        </w:tc>
        <w:tc>
          <w:tcPr>
            <w:tcW w:w="141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8,761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18,147 </w:t>
            </w: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26,908 </w:t>
            </w: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 2014 </w:t>
            </w:r>
          </w:p>
        </w:tc>
        <w:tc>
          <w:tcPr>
            <w:tcW w:w="271"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 2013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u w:val="single"/>
                <w:lang w:val="en-AU"/>
              </w:rPr>
            </w:pPr>
            <w:r w:rsidRPr="00297816">
              <w:rPr>
                <w:rFonts w:eastAsia="Times New Roman" w:cs="Arial"/>
                <w:b/>
                <w:bCs/>
                <w:sz w:val="18"/>
                <w:szCs w:val="18"/>
                <w:u w:val="single"/>
                <w:lang w:val="en-AU"/>
              </w:rPr>
              <w:t>Note 7F:  Other Non-Financial Assets</w:t>
            </w: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Prepayments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36,498 </w:t>
            </w:r>
          </w:p>
        </w:tc>
        <w:tc>
          <w:tcPr>
            <w:tcW w:w="271"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37,554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Total other non-financial assets</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bookmarkStart w:id="340" w:name="RANGE!D151"/>
            <w:r w:rsidRPr="00297816">
              <w:rPr>
                <w:rFonts w:eastAsia="Times New Roman" w:cs="Arial"/>
                <w:b/>
                <w:bCs/>
                <w:sz w:val="18"/>
                <w:szCs w:val="18"/>
                <w:lang w:val="en-AU"/>
              </w:rPr>
              <w:t xml:space="preserve">36,498 </w:t>
            </w:r>
            <w:bookmarkEnd w:id="340"/>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bookmarkStart w:id="341" w:name="RANGE!F151"/>
            <w:r w:rsidRPr="00297816">
              <w:rPr>
                <w:rFonts w:eastAsia="Times New Roman" w:cs="Arial"/>
                <w:sz w:val="18"/>
                <w:szCs w:val="18"/>
                <w:lang w:val="en-AU"/>
              </w:rPr>
              <w:t xml:space="preserve">37,554 </w:t>
            </w:r>
            <w:bookmarkEnd w:id="341"/>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jc w:val="right"/>
              <w:rPr>
                <w:rFonts w:eastAsia="Times New Roman" w:cs="Arial"/>
                <w:sz w:val="18"/>
                <w:szCs w:val="18"/>
                <w:lang w:val="en-AU"/>
              </w:rPr>
            </w:pPr>
          </w:p>
        </w:tc>
        <w:tc>
          <w:tcPr>
            <w:tcW w:w="271"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Total other non-financial assets - are expected to be recovered in:</w:t>
            </w:r>
          </w:p>
        </w:tc>
        <w:tc>
          <w:tcPr>
            <w:tcW w:w="1066"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noWrap/>
            <w:vAlign w:val="bottom"/>
          </w:tcPr>
          <w:p w:rsidR="00EB5679" w:rsidRPr="00297816" w:rsidRDefault="00EB5679" w:rsidP="009F7D0F">
            <w:pPr>
              <w:spacing w:after="0" w:line="240" w:lineRule="auto"/>
              <w:ind w:firstLineChars="200" w:firstLine="280"/>
              <w:rPr>
                <w:rFonts w:eastAsia="Times New Roman" w:cs="Arial"/>
                <w:sz w:val="18"/>
                <w:szCs w:val="18"/>
                <w:lang w:val="en-AU"/>
              </w:rPr>
            </w:pPr>
            <w:r w:rsidRPr="00297816">
              <w:rPr>
                <w:rFonts w:eastAsia="Times New Roman" w:cs="Arial"/>
                <w:sz w:val="18"/>
                <w:szCs w:val="18"/>
                <w:lang w:val="en-AU"/>
              </w:rPr>
              <w:t>No more than 12 months</w:t>
            </w: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r w:rsidRPr="00297816">
              <w:rPr>
                <w:rFonts w:eastAsia="Times New Roman" w:cs="Arial"/>
                <w:b/>
                <w:bCs/>
                <w:sz w:val="18"/>
                <w:szCs w:val="18"/>
                <w:lang w:val="en-AU"/>
              </w:rPr>
              <w:t xml:space="preserve">36,498 </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r w:rsidRPr="00297816">
              <w:rPr>
                <w:rFonts w:eastAsia="Times New Roman" w:cs="Arial"/>
                <w:sz w:val="18"/>
                <w:szCs w:val="18"/>
                <w:lang w:val="en-AU"/>
              </w:rPr>
              <w:t xml:space="preserve">37,554 </w:t>
            </w: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lang w:val="en-AU"/>
              </w:rPr>
            </w:pPr>
            <w:r w:rsidRPr="00297816">
              <w:rPr>
                <w:rFonts w:eastAsia="Times New Roman" w:cs="Arial"/>
                <w:b/>
                <w:bCs/>
                <w:sz w:val="18"/>
                <w:szCs w:val="18"/>
                <w:lang w:val="en-AU"/>
              </w:rPr>
              <w:t>Total other non-financial assets</w:t>
            </w:r>
          </w:p>
        </w:tc>
        <w:tc>
          <w:tcPr>
            <w:tcW w:w="106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bookmarkStart w:id="342" w:name="RANGE!D156"/>
            <w:r w:rsidRPr="00297816">
              <w:rPr>
                <w:rFonts w:eastAsia="Times New Roman" w:cs="Arial"/>
                <w:b/>
                <w:bCs/>
                <w:sz w:val="18"/>
                <w:szCs w:val="18"/>
                <w:lang w:val="en-AU"/>
              </w:rPr>
              <w:t xml:space="preserve">36,498 </w:t>
            </w:r>
            <w:bookmarkEnd w:id="342"/>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bookmarkStart w:id="343" w:name="RANGE!F156"/>
            <w:r w:rsidRPr="00297816">
              <w:rPr>
                <w:rFonts w:eastAsia="Times New Roman" w:cs="Arial"/>
                <w:sz w:val="18"/>
                <w:szCs w:val="18"/>
                <w:lang w:val="en-AU"/>
              </w:rPr>
              <w:t xml:space="preserve">37,554 </w:t>
            </w:r>
            <w:bookmarkEnd w:id="343"/>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5450" w:type="dxa"/>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b/>
                <w:bCs/>
                <w:sz w:val="18"/>
                <w:szCs w:val="18"/>
                <w:lang w:val="en-AU"/>
              </w:rPr>
            </w:pP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r w:rsidR="00EB5679" w:rsidRPr="00297816">
        <w:trPr>
          <w:trHeight w:val="240"/>
        </w:trPr>
        <w:tc>
          <w:tcPr>
            <w:tcW w:w="6516" w:type="dxa"/>
            <w:gridSpan w:val="2"/>
            <w:tcBorders>
              <w:top w:val="nil"/>
              <w:left w:val="nil"/>
              <w:bottom w:val="nil"/>
              <w:right w:val="nil"/>
            </w:tcBorders>
            <w:shd w:val="clear" w:color="auto" w:fill="auto"/>
          </w:tcPr>
          <w:p w:rsidR="00EB5679" w:rsidRPr="00297816" w:rsidRDefault="00EB5679" w:rsidP="00EB5679">
            <w:pPr>
              <w:spacing w:after="0" w:line="240" w:lineRule="auto"/>
              <w:rPr>
                <w:rFonts w:eastAsia="Times New Roman" w:cs="Arial"/>
                <w:sz w:val="18"/>
                <w:szCs w:val="18"/>
                <w:lang w:val="en-AU"/>
              </w:rPr>
            </w:pPr>
            <w:r w:rsidRPr="00297816">
              <w:rPr>
                <w:rFonts w:eastAsia="Times New Roman" w:cs="Arial"/>
                <w:sz w:val="18"/>
                <w:szCs w:val="18"/>
                <w:lang w:val="en-AU"/>
              </w:rPr>
              <w:t>No indicators of impairment were found for other non-financial assets.</w:t>
            </w:r>
          </w:p>
        </w:tc>
        <w:tc>
          <w:tcPr>
            <w:tcW w:w="271"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jc w:val="right"/>
              <w:rPr>
                <w:rFonts w:eastAsia="Times New Roman" w:cs="Arial"/>
                <w:sz w:val="18"/>
                <w:szCs w:val="18"/>
                <w:lang w:val="en-AU"/>
              </w:rPr>
            </w:pPr>
          </w:p>
        </w:tc>
        <w:tc>
          <w:tcPr>
            <w:tcW w:w="141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97816" w:rsidRDefault="00EB5679" w:rsidP="00EB5679">
            <w:pPr>
              <w:spacing w:after="0" w:line="240" w:lineRule="auto"/>
              <w:rPr>
                <w:rFonts w:eastAsia="Times New Roman" w:cs="Arial"/>
                <w:sz w:val="18"/>
                <w:szCs w:val="18"/>
                <w:lang w:val="en-AU"/>
              </w:rPr>
            </w:pPr>
          </w:p>
        </w:tc>
      </w:tr>
    </w:tbl>
    <w:p w:rsidR="00EB5679" w:rsidRDefault="00EB5679"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sectPr w:rsidR="00EB5679" w:rsidSect="001E2C73">
          <w:pgSz w:w="16838" w:h="11906" w:orient="landscape"/>
          <w:pgMar w:top="720" w:right="567" w:bottom="720" w:left="567" w:footer="284" w:gutter="0"/>
          <w:noEndnote/>
        </w:sectPr>
      </w:pPr>
    </w:p>
    <w:tbl>
      <w:tblPr>
        <w:tblW w:w="8844" w:type="dxa"/>
        <w:tblInd w:w="108" w:type="dxa"/>
        <w:tblLook w:val="04A0"/>
      </w:tblPr>
      <w:tblGrid>
        <w:gridCol w:w="6227"/>
        <w:gridCol w:w="1173"/>
        <w:gridCol w:w="271"/>
        <w:gridCol w:w="1173"/>
      </w:tblGrid>
      <w:tr w:rsidR="00EB5679" w:rsidRPr="003C5D3F">
        <w:trPr>
          <w:trHeight w:val="360"/>
        </w:trPr>
        <w:tc>
          <w:tcPr>
            <w:tcW w:w="6276" w:type="dxa"/>
            <w:tcBorders>
              <w:top w:val="nil"/>
              <w:left w:val="nil"/>
              <w:right w:val="nil"/>
            </w:tcBorders>
            <w:shd w:val="clear" w:color="auto" w:fill="auto"/>
            <w:noWrap/>
            <w:vAlign w:val="center"/>
          </w:tcPr>
          <w:p w:rsidR="00EB5679" w:rsidRPr="003C5D3F" w:rsidRDefault="00EB5679" w:rsidP="00281025">
            <w:pPr>
              <w:rPr>
                <w:lang w:val="en-AU"/>
              </w:rPr>
            </w:pPr>
            <w:r w:rsidRPr="003C5D3F">
              <w:rPr>
                <w:lang w:val="en-AU"/>
              </w:rPr>
              <w:t>Notes to and forming part of the financial statements</w:t>
            </w:r>
          </w:p>
        </w:tc>
        <w:tc>
          <w:tcPr>
            <w:tcW w:w="117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21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17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r>
      <w:tr w:rsidR="00EB5679" w:rsidRPr="003C5D3F">
        <w:trPr>
          <w:trHeight w:val="300"/>
        </w:trPr>
        <w:tc>
          <w:tcPr>
            <w:tcW w:w="6276" w:type="dxa"/>
            <w:tcBorders>
              <w:top w:val="nil"/>
              <w:left w:val="nil"/>
              <w:bottom w:val="single" w:sz="4" w:space="0" w:color="auto"/>
              <w:right w:val="nil"/>
            </w:tcBorders>
            <w:shd w:val="clear" w:color="auto" w:fill="auto"/>
            <w:noWrap/>
          </w:tcPr>
          <w:p w:rsidR="00EB5679" w:rsidRPr="003C5D3F" w:rsidRDefault="00EB5679" w:rsidP="00281025">
            <w:pPr>
              <w:pStyle w:val="Financialsnotehead"/>
            </w:pPr>
            <w:r w:rsidRPr="003C5D3F">
              <w:t>Note 8: Payables</w:t>
            </w:r>
          </w:p>
        </w:tc>
        <w:tc>
          <w:tcPr>
            <w:tcW w:w="117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21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r>
      <w:tr w:rsidR="00EB5679" w:rsidRPr="00281025">
        <w:trPr>
          <w:trHeight w:val="240"/>
        </w:trPr>
        <w:tc>
          <w:tcPr>
            <w:tcW w:w="6276" w:type="dxa"/>
            <w:tcBorders>
              <w:top w:val="single" w:sz="4" w:space="0" w:color="auto"/>
              <w:left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c>
          <w:tcPr>
            <w:tcW w:w="216" w:type="dxa"/>
            <w:tcBorders>
              <w:top w:val="single" w:sz="4" w:space="0" w:color="auto"/>
              <w:left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 2014 </w:t>
            </w:r>
          </w:p>
        </w:tc>
        <w:tc>
          <w:tcPr>
            <w:tcW w:w="21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 2013 </w:t>
            </w:r>
          </w:p>
        </w:tc>
      </w:tr>
      <w:tr w:rsidR="00EB5679" w:rsidRPr="00281025">
        <w:trPr>
          <w:trHeight w:val="240"/>
        </w:trPr>
        <w:tc>
          <w:tcPr>
            <w:tcW w:w="6276" w:type="dxa"/>
            <w:tcBorders>
              <w:top w:val="nil"/>
              <w:left w:val="nil"/>
              <w:bottom w:val="single" w:sz="4" w:space="0" w:color="auto"/>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w:t>
            </w:r>
          </w:p>
        </w:tc>
        <w:tc>
          <w:tcPr>
            <w:tcW w:w="216" w:type="dxa"/>
            <w:tcBorders>
              <w:top w:val="nil"/>
              <w:left w:val="nil"/>
              <w:bottom w:val="single" w:sz="4" w:space="0" w:color="auto"/>
              <w:right w:val="nil"/>
            </w:tcBorders>
            <w:shd w:val="clear" w:color="auto" w:fill="auto"/>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single" w:sz="4" w:space="0" w:color="auto"/>
              <w:right w:val="nil"/>
            </w:tcBorders>
            <w:shd w:val="clear" w:color="auto" w:fill="auto"/>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w:t>
            </w:r>
          </w:p>
        </w:tc>
      </w:tr>
      <w:tr w:rsidR="00EB5679" w:rsidRPr="00281025">
        <w:trPr>
          <w:trHeight w:val="240"/>
        </w:trPr>
        <w:tc>
          <w:tcPr>
            <w:tcW w:w="6276" w:type="dxa"/>
            <w:tcBorders>
              <w:top w:val="single" w:sz="4" w:space="0" w:color="auto"/>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u w:val="single"/>
                <w:lang w:val="en-AU"/>
              </w:rPr>
            </w:pPr>
            <w:r w:rsidRPr="00281025">
              <w:rPr>
                <w:rFonts w:eastAsia="Times New Roman" w:cs="Arial"/>
                <w:b/>
                <w:bCs/>
                <w:sz w:val="18"/>
                <w:szCs w:val="18"/>
                <w:u w:val="single"/>
                <w:lang w:val="en-AU"/>
              </w:rPr>
              <w:t>Note 8A: Suppliers</w:t>
            </w:r>
          </w:p>
        </w:tc>
        <w:tc>
          <w:tcPr>
            <w:tcW w:w="1176" w:type="dxa"/>
            <w:tcBorders>
              <w:top w:val="single" w:sz="4" w:space="0" w:color="auto"/>
              <w:left w:val="nil"/>
              <w:bottom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c>
          <w:tcPr>
            <w:tcW w:w="216" w:type="dxa"/>
            <w:tcBorders>
              <w:top w:val="single" w:sz="4" w:space="0" w:color="auto"/>
              <w:left w:val="nil"/>
              <w:bottom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r w:rsidRPr="00281025">
              <w:rPr>
                <w:rFonts w:eastAsia="Times New Roman" w:cs="Arial"/>
                <w:sz w:val="18"/>
                <w:szCs w:val="18"/>
                <w:lang w:val="en-AU"/>
              </w:rPr>
              <w:t>Trade creditors and accruals</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214,410 </w:t>
            </w:r>
          </w:p>
        </w:tc>
        <w:tc>
          <w:tcPr>
            <w:tcW w:w="216" w:type="dxa"/>
            <w:tcBorders>
              <w:top w:val="nil"/>
              <w:left w:val="nil"/>
              <w:bottom w:val="nil"/>
              <w:right w:val="nil"/>
            </w:tcBorders>
            <w:shd w:val="clear" w:color="auto" w:fill="auto"/>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370,389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r w:rsidRPr="00281025">
              <w:rPr>
                <w:rFonts w:eastAsia="Times New Roman" w:cs="Arial"/>
                <w:sz w:val="18"/>
                <w:szCs w:val="18"/>
                <w:lang w:val="en-AU"/>
              </w:rPr>
              <w:t>Operating lease rentals</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30,307 </w:t>
            </w:r>
          </w:p>
        </w:tc>
        <w:tc>
          <w:tcPr>
            <w:tcW w:w="216" w:type="dxa"/>
            <w:tcBorders>
              <w:top w:val="nil"/>
              <w:left w:val="nil"/>
              <w:bottom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31,825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r w:rsidRPr="00281025">
              <w:rPr>
                <w:rFonts w:eastAsia="Times New Roman" w:cs="Arial"/>
                <w:b/>
                <w:bCs/>
                <w:sz w:val="18"/>
                <w:szCs w:val="18"/>
                <w:lang w:val="en-AU"/>
              </w:rPr>
              <w:t>Total supplier payables</w:t>
            </w: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244,717 </w:t>
            </w: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402,214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r w:rsidRPr="00281025">
              <w:rPr>
                <w:rFonts w:eastAsia="Times New Roman" w:cs="Arial"/>
                <w:b/>
                <w:bCs/>
                <w:sz w:val="18"/>
                <w:szCs w:val="18"/>
                <w:lang w:val="en-AU"/>
              </w:rPr>
              <w:t>Suppliers expected to be settled</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r w:rsidRPr="00281025">
              <w:rPr>
                <w:rFonts w:eastAsia="Times New Roman" w:cs="Arial"/>
                <w:sz w:val="18"/>
                <w:szCs w:val="18"/>
                <w:lang w:val="en-AU"/>
              </w:rPr>
              <w:t xml:space="preserve">     No more than 12 months</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219,982 </w:t>
            </w: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371,907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r w:rsidRPr="00281025">
              <w:rPr>
                <w:rFonts w:eastAsia="Times New Roman" w:cs="Arial"/>
                <w:sz w:val="18"/>
                <w:szCs w:val="18"/>
                <w:lang w:val="en-AU"/>
              </w:rPr>
              <w:t xml:space="preserve">     More than 12 months</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24,735 </w:t>
            </w: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30,307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r w:rsidRPr="00281025">
              <w:rPr>
                <w:rFonts w:eastAsia="Times New Roman" w:cs="Arial"/>
                <w:b/>
                <w:bCs/>
                <w:sz w:val="18"/>
                <w:szCs w:val="18"/>
                <w:lang w:val="en-AU"/>
              </w:rPr>
              <w:t>Total suppliers</w:t>
            </w: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244,717 </w:t>
            </w: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402,214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r w:rsidRPr="00281025">
              <w:rPr>
                <w:rFonts w:eastAsia="Times New Roman" w:cs="Arial"/>
                <w:b/>
                <w:bCs/>
                <w:sz w:val="18"/>
                <w:szCs w:val="18"/>
                <w:lang w:val="en-AU"/>
              </w:rPr>
              <w:t>Suppliers in connection with</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9F7D0F">
            <w:pPr>
              <w:spacing w:after="0" w:line="240" w:lineRule="auto"/>
              <w:ind w:firstLineChars="200" w:firstLine="280"/>
              <w:rPr>
                <w:rFonts w:eastAsia="Times New Roman" w:cs="Arial"/>
                <w:sz w:val="18"/>
                <w:szCs w:val="18"/>
                <w:lang w:val="en-AU"/>
              </w:rPr>
            </w:pPr>
            <w:r w:rsidRPr="00281025">
              <w:rPr>
                <w:rFonts w:eastAsia="Times New Roman" w:cs="Arial"/>
                <w:sz w:val="18"/>
                <w:szCs w:val="18"/>
                <w:lang w:val="en-AU"/>
              </w:rPr>
              <w:t xml:space="preserve">Related parties </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 3,196 </w:t>
            </w:r>
          </w:p>
        </w:tc>
        <w:tc>
          <w:tcPr>
            <w:tcW w:w="216" w:type="dxa"/>
            <w:tcBorders>
              <w:top w:val="nil"/>
              <w:left w:val="nil"/>
              <w:bottom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 112,768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9F7D0F">
            <w:pPr>
              <w:spacing w:after="0" w:line="240" w:lineRule="auto"/>
              <w:ind w:firstLineChars="200" w:firstLine="280"/>
              <w:rPr>
                <w:rFonts w:eastAsia="Times New Roman" w:cs="Arial"/>
                <w:sz w:val="18"/>
                <w:szCs w:val="18"/>
                <w:lang w:val="en-AU"/>
              </w:rPr>
            </w:pPr>
            <w:r w:rsidRPr="00281025">
              <w:rPr>
                <w:rFonts w:eastAsia="Times New Roman" w:cs="Arial"/>
                <w:sz w:val="18"/>
                <w:szCs w:val="18"/>
                <w:lang w:val="en-AU"/>
              </w:rPr>
              <w:t>External parties</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241,521 </w:t>
            </w: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289,446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r w:rsidRPr="00281025">
              <w:rPr>
                <w:rFonts w:eastAsia="Times New Roman" w:cs="Arial"/>
                <w:b/>
                <w:bCs/>
                <w:sz w:val="18"/>
                <w:szCs w:val="18"/>
                <w:lang w:val="en-AU"/>
              </w:rPr>
              <w:t>Total</w:t>
            </w: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244,717 </w:t>
            </w:r>
          </w:p>
        </w:tc>
        <w:tc>
          <w:tcPr>
            <w:tcW w:w="21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402,214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r>
      <w:tr w:rsidR="00EB5679" w:rsidRPr="00281025">
        <w:trPr>
          <w:trHeight w:val="240"/>
        </w:trPr>
        <w:tc>
          <w:tcPr>
            <w:tcW w:w="8844" w:type="dxa"/>
            <w:gridSpan w:val="4"/>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r w:rsidRPr="00281025">
              <w:rPr>
                <w:rFonts w:eastAsia="Times New Roman" w:cs="Arial"/>
                <w:sz w:val="18"/>
                <w:szCs w:val="18"/>
                <w:lang w:val="en-AU"/>
              </w:rPr>
              <w:t>Settlement was usually made within 30 days.</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p>
        </w:tc>
        <w:tc>
          <w:tcPr>
            <w:tcW w:w="21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u w:val="single"/>
                <w:lang w:val="en-AU"/>
              </w:rPr>
            </w:pPr>
            <w:r w:rsidRPr="00281025">
              <w:rPr>
                <w:rFonts w:eastAsia="Times New Roman" w:cs="Arial"/>
                <w:b/>
                <w:bCs/>
                <w:sz w:val="18"/>
                <w:szCs w:val="18"/>
                <w:u w:val="single"/>
                <w:lang w:val="en-AU"/>
              </w:rPr>
              <w:t>Note 8B: Other Payables</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r w:rsidRPr="00281025">
              <w:rPr>
                <w:rFonts w:eastAsia="Times New Roman" w:cs="Arial"/>
                <w:sz w:val="18"/>
                <w:szCs w:val="18"/>
                <w:lang w:val="en-AU"/>
              </w:rPr>
              <w:t>Salaries and wages</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81,802 </w:t>
            </w: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58,821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r w:rsidRPr="00281025">
              <w:rPr>
                <w:rFonts w:eastAsia="Times New Roman" w:cs="Arial"/>
                <w:sz w:val="18"/>
                <w:szCs w:val="18"/>
                <w:lang w:val="en-AU"/>
              </w:rPr>
              <w:t>Superannuation</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13,890 </w:t>
            </w: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7,049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r w:rsidRPr="00281025">
              <w:rPr>
                <w:rFonts w:eastAsia="Times New Roman" w:cs="Arial"/>
                <w:b/>
                <w:bCs/>
                <w:sz w:val="18"/>
                <w:szCs w:val="18"/>
                <w:lang w:val="en-AU"/>
              </w:rPr>
              <w:t>Total other payables</w:t>
            </w: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bookmarkStart w:id="344" w:name="RANGE!E29"/>
            <w:r w:rsidRPr="00281025">
              <w:rPr>
                <w:rFonts w:eastAsia="Times New Roman" w:cs="Arial"/>
                <w:b/>
                <w:bCs/>
                <w:sz w:val="18"/>
                <w:szCs w:val="18"/>
                <w:lang w:val="en-AU"/>
              </w:rPr>
              <w:t xml:space="preserve">95,692 </w:t>
            </w:r>
            <w:bookmarkEnd w:id="344"/>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bookmarkStart w:id="345" w:name="RANGE!G29"/>
            <w:r w:rsidRPr="00281025">
              <w:rPr>
                <w:rFonts w:eastAsia="Times New Roman" w:cs="Arial"/>
                <w:sz w:val="18"/>
                <w:szCs w:val="18"/>
                <w:lang w:val="en-AU"/>
              </w:rPr>
              <w:t xml:space="preserve">65,870 </w:t>
            </w:r>
            <w:bookmarkEnd w:id="345"/>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r w:rsidRPr="00281025">
              <w:rPr>
                <w:rFonts w:eastAsia="Times New Roman" w:cs="Arial"/>
                <w:b/>
                <w:bCs/>
                <w:sz w:val="18"/>
                <w:szCs w:val="18"/>
                <w:lang w:val="en-AU"/>
              </w:rPr>
              <w:t>Total other payables are expected to be settled in:</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p>
        </w:tc>
      </w:tr>
      <w:tr w:rsidR="00EB5679" w:rsidRPr="00281025">
        <w:trPr>
          <w:trHeight w:val="240"/>
        </w:trPr>
        <w:tc>
          <w:tcPr>
            <w:tcW w:w="6276" w:type="dxa"/>
            <w:tcBorders>
              <w:top w:val="nil"/>
              <w:left w:val="nil"/>
              <w:bottom w:val="nil"/>
              <w:right w:val="nil"/>
            </w:tcBorders>
            <w:shd w:val="clear" w:color="auto" w:fill="auto"/>
            <w:noWrap/>
            <w:vAlign w:val="bottom"/>
          </w:tcPr>
          <w:p w:rsidR="00EB5679" w:rsidRPr="00281025" w:rsidRDefault="00EB5679" w:rsidP="009F7D0F">
            <w:pPr>
              <w:spacing w:after="0" w:line="240" w:lineRule="auto"/>
              <w:ind w:firstLineChars="200" w:firstLine="280"/>
              <w:rPr>
                <w:rFonts w:eastAsia="Times New Roman" w:cs="Arial"/>
                <w:sz w:val="18"/>
                <w:szCs w:val="18"/>
                <w:lang w:val="en-AU"/>
              </w:rPr>
            </w:pPr>
            <w:r w:rsidRPr="00281025">
              <w:rPr>
                <w:rFonts w:eastAsia="Times New Roman" w:cs="Arial"/>
                <w:sz w:val="18"/>
                <w:szCs w:val="18"/>
                <w:lang w:val="en-AU"/>
              </w:rPr>
              <w:t>No more than 12 months</w:t>
            </w: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r w:rsidRPr="00281025">
              <w:rPr>
                <w:rFonts w:eastAsia="Times New Roman" w:cs="Arial"/>
                <w:b/>
                <w:bCs/>
                <w:sz w:val="18"/>
                <w:szCs w:val="18"/>
                <w:lang w:val="en-AU"/>
              </w:rPr>
              <w:t xml:space="preserve">95,692 </w:t>
            </w: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r w:rsidRPr="00281025">
              <w:rPr>
                <w:rFonts w:eastAsia="Times New Roman" w:cs="Arial"/>
                <w:sz w:val="18"/>
                <w:szCs w:val="18"/>
                <w:lang w:val="en-AU"/>
              </w:rPr>
              <w:t xml:space="preserve">65,870 </w:t>
            </w:r>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b/>
                <w:bCs/>
                <w:sz w:val="18"/>
                <w:szCs w:val="18"/>
                <w:lang w:val="en-AU"/>
              </w:rPr>
            </w:pPr>
            <w:r w:rsidRPr="00281025">
              <w:rPr>
                <w:rFonts w:eastAsia="Times New Roman" w:cs="Arial"/>
                <w:b/>
                <w:bCs/>
                <w:sz w:val="18"/>
                <w:szCs w:val="18"/>
                <w:lang w:val="en-AU"/>
              </w:rPr>
              <w:t>Total other payables</w:t>
            </w: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b/>
                <w:bCs/>
                <w:sz w:val="18"/>
                <w:szCs w:val="18"/>
                <w:lang w:val="en-AU"/>
              </w:rPr>
            </w:pPr>
            <w:bookmarkStart w:id="346" w:name="RANGE!E34"/>
            <w:r w:rsidRPr="00281025">
              <w:rPr>
                <w:rFonts w:eastAsia="Times New Roman" w:cs="Arial"/>
                <w:b/>
                <w:bCs/>
                <w:sz w:val="18"/>
                <w:szCs w:val="18"/>
                <w:lang w:val="en-AU"/>
              </w:rPr>
              <w:t xml:space="preserve">95,692 </w:t>
            </w:r>
            <w:bookmarkEnd w:id="346"/>
          </w:p>
        </w:tc>
        <w:tc>
          <w:tcPr>
            <w:tcW w:w="216" w:type="dxa"/>
            <w:tcBorders>
              <w:top w:val="nil"/>
              <w:left w:val="nil"/>
              <w:bottom w:val="nil"/>
              <w:right w:val="nil"/>
            </w:tcBorders>
            <w:shd w:val="clear" w:color="auto" w:fill="auto"/>
            <w:noWrap/>
            <w:vAlign w:val="bottom"/>
          </w:tcPr>
          <w:p w:rsidR="00EB5679" w:rsidRPr="00281025" w:rsidRDefault="00EB5679" w:rsidP="00214658">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281025" w:rsidRDefault="00EB5679" w:rsidP="00214658">
            <w:pPr>
              <w:spacing w:after="0" w:line="240" w:lineRule="auto"/>
              <w:jc w:val="right"/>
              <w:rPr>
                <w:rFonts w:eastAsia="Times New Roman" w:cs="Arial"/>
                <w:sz w:val="18"/>
                <w:szCs w:val="18"/>
                <w:lang w:val="en-AU"/>
              </w:rPr>
            </w:pPr>
            <w:bookmarkStart w:id="347" w:name="RANGE!G34"/>
            <w:r w:rsidRPr="00281025">
              <w:rPr>
                <w:rFonts w:eastAsia="Times New Roman" w:cs="Arial"/>
                <w:sz w:val="18"/>
                <w:szCs w:val="18"/>
                <w:lang w:val="en-AU"/>
              </w:rPr>
              <w:t xml:space="preserve">65,870 </w:t>
            </w:r>
            <w:bookmarkEnd w:id="347"/>
          </w:p>
        </w:tc>
      </w:tr>
      <w:tr w:rsidR="00EB5679" w:rsidRPr="00281025">
        <w:trPr>
          <w:trHeight w:val="240"/>
        </w:trPr>
        <w:tc>
          <w:tcPr>
            <w:tcW w:w="6276" w:type="dxa"/>
            <w:tcBorders>
              <w:top w:val="nil"/>
              <w:left w:val="nil"/>
              <w:bottom w:val="nil"/>
              <w:right w:val="nil"/>
            </w:tcBorders>
            <w:shd w:val="clear" w:color="auto" w:fill="auto"/>
          </w:tcPr>
          <w:p w:rsidR="00EB5679" w:rsidRPr="00281025"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vAlign w:val="bottom"/>
          </w:tcPr>
          <w:p w:rsidR="00EB5679" w:rsidRPr="00281025" w:rsidRDefault="00EB5679" w:rsidP="00214658">
            <w:pPr>
              <w:spacing w:after="0" w:line="240" w:lineRule="auto"/>
              <w:jc w:val="right"/>
              <w:rPr>
                <w:rFonts w:eastAsia="Times New Roman" w:cs="Arial"/>
                <w:sz w:val="18"/>
                <w:szCs w:val="18"/>
                <w:lang w:val="en-AU"/>
              </w:rPr>
            </w:pPr>
          </w:p>
        </w:tc>
      </w:tr>
    </w:tbl>
    <w:p w:rsidR="00EB5679" w:rsidRDefault="00BF6798"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r>
        <w:rPr>
          <w:rFonts w:ascii="SamoSansPro-Medium" w:hAnsi="SamoSansPro-Medium" w:cs="SamoSansPro-Medium"/>
          <w:color w:val="28254D"/>
          <w:sz w:val="36"/>
          <w:szCs w:val="36"/>
          <w:lang w:val="en-GB"/>
        </w:rPr>
        <w:br w:type="page"/>
      </w:r>
    </w:p>
    <w:tbl>
      <w:tblPr>
        <w:tblW w:w="8574" w:type="dxa"/>
        <w:tblInd w:w="108" w:type="dxa"/>
        <w:tblLook w:val="04A0"/>
      </w:tblPr>
      <w:tblGrid>
        <w:gridCol w:w="5856"/>
        <w:gridCol w:w="1176"/>
        <w:gridCol w:w="366"/>
        <w:gridCol w:w="1176"/>
      </w:tblGrid>
      <w:tr w:rsidR="00EB5679" w:rsidRPr="003C5D3F">
        <w:trPr>
          <w:trHeight w:val="360"/>
        </w:trPr>
        <w:tc>
          <w:tcPr>
            <w:tcW w:w="5856" w:type="dxa"/>
            <w:tcBorders>
              <w:top w:val="nil"/>
              <w:left w:val="nil"/>
              <w:right w:val="nil"/>
            </w:tcBorders>
            <w:shd w:val="clear" w:color="auto" w:fill="auto"/>
            <w:noWrap/>
            <w:vAlign w:val="center"/>
          </w:tcPr>
          <w:p w:rsidR="00EB5679" w:rsidRPr="003C5D3F" w:rsidRDefault="00EB5679" w:rsidP="00476548">
            <w:pPr>
              <w:rPr>
                <w:lang w:val="en-AU"/>
              </w:rPr>
            </w:pPr>
            <w:r w:rsidRPr="003C5D3F">
              <w:rPr>
                <w:lang w:val="en-AU"/>
              </w:rPr>
              <w:t>Notes to and forming part of the financial statements</w:t>
            </w:r>
          </w:p>
        </w:tc>
        <w:tc>
          <w:tcPr>
            <w:tcW w:w="117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36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17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r>
      <w:tr w:rsidR="00EB5679" w:rsidRPr="003C5D3F">
        <w:trPr>
          <w:trHeight w:val="300"/>
        </w:trPr>
        <w:tc>
          <w:tcPr>
            <w:tcW w:w="5856" w:type="dxa"/>
            <w:tcBorders>
              <w:top w:val="nil"/>
              <w:left w:val="nil"/>
              <w:bottom w:val="single" w:sz="4" w:space="0" w:color="auto"/>
              <w:right w:val="nil"/>
            </w:tcBorders>
            <w:shd w:val="clear" w:color="auto" w:fill="auto"/>
            <w:noWrap/>
          </w:tcPr>
          <w:p w:rsidR="00EB5679" w:rsidRPr="003C5D3F" w:rsidRDefault="00EB5679" w:rsidP="00476548">
            <w:pPr>
              <w:pStyle w:val="Financialsnotehead"/>
            </w:pPr>
            <w:r w:rsidRPr="003C5D3F">
              <w:t>Note 9: Provisions</w:t>
            </w:r>
          </w:p>
        </w:tc>
        <w:tc>
          <w:tcPr>
            <w:tcW w:w="117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36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r>
      <w:tr w:rsidR="00EB5679" w:rsidRPr="003C5D3F">
        <w:trPr>
          <w:trHeight w:val="240"/>
        </w:trPr>
        <w:tc>
          <w:tcPr>
            <w:tcW w:w="5856" w:type="dxa"/>
            <w:tcBorders>
              <w:top w:val="single" w:sz="4" w:space="0" w:color="auto"/>
              <w:left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c>
          <w:tcPr>
            <w:tcW w:w="1176" w:type="dxa"/>
            <w:tcBorders>
              <w:top w:val="single" w:sz="4" w:space="0" w:color="auto"/>
              <w:left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c>
          <w:tcPr>
            <w:tcW w:w="366" w:type="dxa"/>
            <w:tcBorders>
              <w:top w:val="single" w:sz="4" w:space="0" w:color="auto"/>
              <w:left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c>
          <w:tcPr>
            <w:tcW w:w="1176" w:type="dxa"/>
            <w:tcBorders>
              <w:top w:val="single" w:sz="4" w:space="0" w:color="auto"/>
              <w:left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r>
      <w:tr w:rsidR="00EB5679" w:rsidRPr="00476548">
        <w:trPr>
          <w:trHeight w:val="24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 2014 </w:t>
            </w: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r w:rsidRPr="00476548">
              <w:rPr>
                <w:rFonts w:eastAsia="Times New Roman" w:cs="Arial"/>
                <w:sz w:val="18"/>
                <w:szCs w:val="18"/>
                <w:lang w:val="en-AU"/>
              </w:rPr>
              <w:t xml:space="preserve"> 2013 </w:t>
            </w:r>
          </w:p>
        </w:tc>
      </w:tr>
      <w:tr w:rsidR="00EB5679" w:rsidRPr="00476548">
        <w:trPr>
          <w:trHeight w:val="240"/>
        </w:trPr>
        <w:tc>
          <w:tcPr>
            <w:tcW w:w="5856" w:type="dxa"/>
            <w:tcBorders>
              <w:top w:val="nil"/>
              <w:left w:val="nil"/>
              <w:bottom w:val="single" w:sz="4" w:space="0" w:color="auto"/>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w:t>
            </w:r>
          </w:p>
        </w:tc>
        <w:tc>
          <w:tcPr>
            <w:tcW w:w="366" w:type="dxa"/>
            <w:tcBorders>
              <w:top w:val="nil"/>
              <w:left w:val="nil"/>
              <w:bottom w:val="single" w:sz="4" w:space="0" w:color="auto"/>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tcPr>
          <w:p w:rsidR="00EB5679" w:rsidRPr="00476548" w:rsidRDefault="00EB5679" w:rsidP="00214658">
            <w:pPr>
              <w:spacing w:after="0" w:line="240" w:lineRule="auto"/>
              <w:jc w:val="right"/>
              <w:rPr>
                <w:rFonts w:eastAsia="Times New Roman" w:cs="Arial"/>
                <w:sz w:val="18"/>
                <w:szCs w:val="18"/>
                <w:lang w:val="en-AU"/>
              </w:rPr>
            </w:pPr>
            <w:r w:rsidRPr="00476548">
              <w:rPr>
                <w:rFonts w:eastAsia="Times New Roman" w:cs="Arial"/>
                <w:sz w:val="18"/>
                <w:szCs w:val="18"/>
                <w:lang w:val="en-AU"/>
              </w:rPr>
              <w:t>$</w:t>
            </w:r>
          </w:p>
        </w:tc>
      </w:tr>
      <w:tr w:rsidR="00EB5679" w:rsidRPr="00476548">
        <w:trPr>
          <w:trHeight w:val="240"/>
        </w:trPr>
        <w:tc>
          <w:tcPr>
            <w:tcW w:w="5856" w:type="dxa"/>
            <w:tcBorders>
              <w:top w:val="single" w:sz="4" w:space="0" w:color="auto"/>
              <w:left w:val="nil"/>
              <w:bottom w:val="nil"/>
              <w:right w:val="nil"/>
            </w:tcBorders>
            <w:shd w:val="clear" w:color="auto" w:fill="auto"/>
          </w:tcPr>
          <w:p w:rsidR="00EB5679" w:rsidRPr="00476548" w:rsidRDefault="00EB5679" w:rsidP="00214658">
            <w:pPr>
              <w:spacing w:after="0" w:line="240" w:lineRule="auto"/>
              <w:rPr>
                <w:rFonts w:eastAsia="Times New Roman" w:cs="Arial"/>
                <w:b/>
                <w:bCs/>
                <w:sz w:val="18"/>
                <w:szCs w:val="18"/>
                <w:u w:val="single"/>
                <w:lang w:val="en-AU"/>
              </w:rPr>
            </w:pPr>
            <w:r w:rsidRPr="00476548">
              <w:rPr>
                <w:rFonts w:eastAsia="Times New Roman" w:cs="Arial"/>
                <w:b/>
                <w:bCs/>
                <w:sz w:val="18"/>
                <w:szCs w:val="18"/>
                <w:u w:val="single"/>
                <w:lang w:val="en-AU"/>
              </w:rPr>
              <w:t>Note 9A:  Employee Provisions</w:t>
            </w:r>
          </w:p>
        </w:tc>
        <w:tc>
          <w:tcPr>
            <w:tcW w:w="1176" w:type="dxa"/>
            <w:tcBorders>
              <w:top w:val="single" w:sz="4" w:space="0" w:color="auto"/>
              <w:left w:val="nil"/>
              <w:bottom w:val="nil"/>
              <w:right w:val="nil"/>
            </w:tcBorders>
            <w:shd w:val="clear" w:color="auto" w:fill="auto"/>
          </w:tcPr>
          <w:p w:rsidR="00EB5679" w:rsidRPr="00476548" w:rsidRDefault="00EB5679" w:rsidP="00214658">
            <w:pPr>
              <w:spacing w:after="0" w:line="240" w:lineRule="auto"/>
              <w:jc w:val="right"/>
              <w:rPr>
                <w:rFonts w:eastAsia="Times New Roman" w:cs="Arial"/>
                <w:b/>
                <w:bCs/>
                <w:sz w:val="18"/>
                <w:szCs w:val="18"/>
                <w:lang w:val="en-AU"/>
              </w:rPr>
            </w:pPr>
          </w:p>
        </w:tc>
        <w:tc>
          <w:tcPr>
            <w:tcW w:w="366" w:type="dxa"/>
            <w:tcBorders>
              <w:top w:val="single" w:sz="4" w:space="0" w:color="auto"/>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tcPr>
          <w:p w:rsidR="00EB5679" w:rsidRPr="00476548" w:rsidRDefault="00EB5679" w:rsidP="00214658">
            <w:pPr>
              <w:spacing w:after="0" w:line="240" w:lineRule="auto"/>
              <w:jc w:val="right"/>
              <w:rPr>
                <w:rFonts w:eastAsia="Times New Roman" w:cs="Arial"/>
                <w:sz w:val="18"/>
                <w:szCs w:val="18"/>
                <w:lang w:val="en-AU"/>
              </w:rPr>
            </w:pPr>
          </w:p>
        </w:tc>
      </w:tr>
      <w:tr w:rsidR="00EB5679" w:rsidRPr="00476548">
        <w:trPr>
          <w:trHeight w:val="24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r w:rsidRPr="00476548">
              <w:rPr>
                <w:rFonts w:eastAsia="Times New Roman" w:cs="Arial"/>
                <w:sz w:val="18"/>
                <w:szCs w:val="18"/>
                <w:lang w:val="en-AU"/>
              </w:rPr>
              <w:t>Leave</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543,936 </w:t>
            </w: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r w:rsidRPr="00476548">
              <w:rPr>
                <w:rFonts w:eastAsia="Times New Roman" w:cs="Arial"/>
                <w:sz w:val="18"/>
                <w:szCs w:val="18"/>
                <w:lang w:val="en-AU"/>
              </w:rPr>
              <w:t xml:space="preserve">413,952 </w:t>
            </w:r>
          </w:p>
        </w:tc>
      </w:tr>
      <w:tr w:rsidR="00EB5679" w:rsidRPr="00476548">
        <w:trPr>
          <w:trHeight w:val="240"/>
        </w:trPr>
        <w:tc>
          <w:tcPr>
            <w:tcW w:w="5856" w:type="dxa"/>
            <w:tcBorders>
              <w:top w:val="nil"/>
              <w:left w:val="nil"/>
              <w:bottom w:val="nil"/>
              <w:right w:val="nil"/>
            </w:tcBorders>
            <w:shd w:val="clear" w:color="auto" w:fill="auto"/>
            <w:noWrap/>
            <w:vAlign w:val="center"/>
          </w:tcPr>
          <w:p w:rsidR="00EB5679" w:rsidRPr="00476548" w:rsidRDefault="00EB5679" w:rsidP="00214658">
            <w:pPr>
              <w:spacing w:after="0" w:line="240" w:lineRule="auto"/>
              <w:rPr>
                <w:rFonts w:eastAsia="Times New Roman" w:cs="Arial"/>
                <w:b/>
                <w:bCs/>
                <w:sz w:val="18"/>
                <w:szCs w:val="18"/>
                <w:lang w:val="en-AU"/>
              </w:rPr>
            </w:pPr>
            <w:r w:rsidRPr="00476548">
              <w:rPr>
                <w:rFonts w:eastAsia="Times New Roman" w:cs="Arial"/>
                <w:b/>
                <w:bCs/>
                <w:sz w:val="18"/>
                <w:szCs w:val="18"/>
                <w:lang w:val="en-AU"/>
              </w:rPr>
              <w:t>Total employee provisions</w:t>
            </w: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543,936 </w:t>
            </w:r>
          </w:p>
        </w:tc>
        <w:tc>
          <w:tcPr>
            <w:tcW w:w="366" w:type="dxa"/>
            <w:tcBorders>
              <w:top w:val="nil"/>
              <w:left w:val="nil"/>
              <w:bottom w:val="nil"/>
              <w:right w:val="nil"/>
            </w:tcBorders>
            <w:shd w:val="clear" w:color="auto" w:fill="auto"/>
          </w:tcPr>
          <w:p w:rsidR="00EB5679" w:rsidRPr="00476548"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r w:rsidRPr="00476548">
              <w:rPr>
                <w:rFonts w:eastAsia="Times New Roman" w:cs="Arial"/>
                <w:sz w:val="18"/>
                <w:szCs w:val="18"/>
                <w:lang w:val="en-AU"/>
              </w:rPr>
              <w:t xml:space="preserve">413,952 </w:t>
            </w:r>
          </w:p>
        </w:tc>
      </w:tr>
      <w:tr w:rsidR="00EB5679" w:rsidRPr="00476548">
        <w:trPr>
          <w:trHeight w:val="24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color w:val="DD0806"/>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p>
        </w:tc>
      </w:tr>
      <w:tr w:rsidR="00EB5679" w:rsidRPr="00476548">
        <w:trPr>
          <w:trHeight w:val="240"/>
        </w:trPr>
        <w:tc>
          <w:tcPr>
            <w:tcW w:w="5856" w:type="dxa"/>
            <w:tcBorders>
              <w:top w:val="nil"/>
              <w:left w:val="nil"/>
              <w:bottom w:val="nil"/>
              <w:right w:val="nil"/>
            </w:tcBorders>
            <w:shd w:val="clear" w:color="auto" w:fill="auto"/>
            <w:vAlign w:val="bottom"/>
          </w:tcPr>
          <w:p w:rsidR="00EB5679" w:rsidRPr="00476548" w:rsidRDefault="00EB5679" w:rsidP="00214658">
            <w:pPr>
              <w:spacing w:after="0" w:line="240" w:lineRule="auto"/>
              <w:rPr>
                <w:rFonts w:eastAsia="Times New Roman" w:cs="Arial"/>
                <w:b/>
                <w:bCs/>
                <w:sz w:val="18"/>
                <w:szCs w:val="18"/>
                <w:lang w:val="en-AU"/>
              </w:rPr>
            </w:pPr>
            <w:r w:rsidRPr="00476548">
              <w:rPr>
                <w:rFonts w:eastAsia="Times New Roman" w:cs="Arial"/>
                <w:b/>
                <w:bCs/>
                <w:sz w:val="18"/>
                <w:szCs w:val="18"/>
                <w:lang w:val="en-AU"/>
              </w:rPr>
              <w:t>Employee provisions expected to be settled</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p>
        </w:tc>
      </w:tr>
      <w:tr w:rsidR="00EB5679" w:rsidRPr="00476548">
        <w:trPr>
          <w:trHeight w:val="240"/>
        </w:trPr>
        <w:tc>
          <w:tcPr>
            <w:tcW w:w="5856" w:type="dxa"/>
            <w:tcBorders>
              <w:top w:val="nil"/>
              <w:left w:val="nil"/>
              <w:bottom w:val="nil"/>
              <w:right w:val="nil"/>
            </w:tcBorders>
            <w:shd w:val="clear" w:color="auto" w:fill="auto"/>
            <w:noWrap/>
          </w:tcPr>
          <w:p w:rsidR="00EB5679" w:rsidRPr="00476548" w:rsidRDefault="00EB5679" w:rsidP="009F7D0F">
            <w:pPr>
              <w:spacing w:after="0" w:line="240" w:lineRule="auto"/>
              <w:ind w:firstLineChars="200" w:firstLine="280"/>
              <w:rPr>
                <w:rFonts w:eastAsia="Times New Roman" w:cs="Arial"/>
                <w:sz w:val="18"/>
                <w:szCs w:val="18"/>
                <w:lang w:val="en-AU"/>
              </w:rPr>
            </w:pPr>
            <w:r w:rsidRPr="00476548">
              <w:rPr>
                <w:rFonts w:eastAsia="Times New Roman" w:cs="Arial"/>
                <w:sz w:val="18"/>
                <w:szCs w:val="18"/>
                <w:lang w:val="en-AU"/>
              </w:rPr>
              <w:t>No more than 12 months</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190,494 </w:t>
            </w: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r w:rsidRPr="00476548">
              <w:rPr>
                <w:rFonts w:eastAsia="Times New Roman" w:cs="Arial"/>
                <w:sz w:val="18"/>
                <w:szCs w:val="18"/>
                <w:lang w:val="en-AU"/>
              </w:rPr>
              <w:t xml:space="preserve">123,257 </w:t>
            </w:r>
          </w:p>
        </w:tc>
      </w:tr>
      <w:tr w:rsidR="00EB5679" w:rsidRPr="00476548">
        <w:trPr>
          <w:trHeight w:val="240"/>
        </w:trPr>
        <w:tc>
          <w:tcPr>
            <w:tcW w:w="5856" w:type="dxa"/>
            <w:tcBorders>
              <w:top w:val="nil"/>
              <w:left w:val="nil"/>
              <w:bottom w:val="nil"/>
              <w:right w:val="nil"/>
            </w:tcBorders>
            <w:shd w:val="clear" w:color="auto" w:fill="auto"/>
            <w:noWrap/>
          </w:tcPr>
          <w:p w:rsidR="00EB5679" w:rsidRPr="00476548" w:rsidRDefault="00EB5679" w:rsidP="009F7D0F">
            <w:pPr>
              <w:spacing w:after="0" w:line="240" w:lineRule="auto"/>
              <w:ind w:firstLineChars="200" w:firstLine="280"/>
              <w:rPr>
                <w:rFonts w:eastAsia="Times New Roman" w:cs="Arial"/>
                <w:sz w:val="18"/>
                <w:szCs w:val="18"/>
                <w:lang w:val="en-AU"/>
              </w:rPr>
            </w:pPr>
            <w:r w:rsidRPr="00476548">
              <w:rPr>
                <w:rFonts w:eastAsia="Times New Roman" w:cs="Arial"/>
                <w:sz w:val="18"/>
                <w:szCs w:val="18"/>
                <w:lang w:val="en-AU"/>
              </w:rPr>
              <w:t>More than 12 months</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353,442 </w:t>
            </w: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r w:rsidRPr="00476548">
              <w:rPr>
                <w:rFonts w:eastAsia="Times New Roman" w:cs="Arial"/>
                <w:sz w:val="18"/>
                <w:szCs w:val="18"/>
                <w:lang w:val="en-AU"/>
              </w:rPr>
              <w:t xml:space="preserve">290,695 </w:t>
            </w:r>
          </w:p>
        </w:tc>
      </w:tr>
      <w:tr w:rsidR="00EB5679" w:rsidRPr="00476548">
        <w:trPr>
          <w:trHeight w:val="240"/>
        </w:trPr>
        <w:tc>
          <w:tcPr>
            <w:tcW w:w="5856" w:type="dxa"/>
            <w:tcBorders>
              <w:top w:val="nil"/>
              <w:left w:val="nil"/>
              <w:bottom w:val="nil"/>
              <w:right w:val="nil"/>
            </w:tcBorders>
            <w:shd w:val="clear" w:color="auto" w:fill="auto"/>
            <w:noWrap/>
            <w:vAlign w:val="center"/>
          </w:tcPr>
          <w:p w:rsidR="00EB5679" w:rsidRPr="00476548" w:rsidRDefault="00EB5679" w:rsidP="00214658">
            <w:pPr>
              <w:spacing w:after="0" w:line="240" w:lineRule="auto"/>
              <w:rPr>
                <w:rFonts w:eastAsia="Times New Roman" w:cs="Arial"/>
                <w:b/>
                <w:bCs/>
                <w:sz w:val="18"/>
                <w:szCs w:val="18"/>
                <w:lang w:val="en-AU"/>
              </w:rPr>
            </w:pPr>
            <w:r w:rsidRPr="00476548">
              <w:rPr>
                <w:rFonts w:eastAsia="Times New Roman" w:cs="Arial"/>
                <w:b/>
                <w:bCs/>
                <w:sz w:val="18"/>
                <w:szCs w:val="18"/>
                <w:lang w:val="en-AU"/>
              </w:rPr>
              <w:t>Total employee provisions</w:t>
            </w: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bookmarkStart w:id="348" w:name="RANGE!E13"/>
            <w:r w:rsidRPr="00476548">
              <w:rPr>
                <w:rFonts w:eastAsia="Times New Roman" w:cs="Arial"/>
                <w:b/>
                <w:bCs/>
                <w:sz w:val="18"/>
                <w:szCs w:val="18"/>
                <w:lang w:val="en-AU"/>
              </w:rPr>
              <w:t xml:space="preserve">543,936 </w:t>
            </w:r>
            <w:bookmarkEnd w:id="348"/>
          </w:p>
        </w:tc>
        <w:tc>
          <w:tcPr>
            <w:tcW w:w="366" w:type="dxa"/>
            <w:tcBorders>
              <w:top w:val="nil"/>
              <w:left w:val="nil"/>
              <w:bottom w:val="nil"/>
              <w:right w:val="nil"/>
            </w:tcBorders>
            <w:shd w:val="clear" w:color="auto" w:fill="auto"/>
          </w:tcPr>
          <w:p w:rsidR="00EB5679" w:rsidRPr="00476548"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bookmarkStart w:id="349" w:name="RANGE!G13"/>
            <w:r w:rsidRPr="00476548">
              <w:rPr>
                <w:rFonts w:eastAsia="Times New Roman" w:cs="Arial"/>
                <w:sz w:val="18"/>
                <w:szCs w:val="18"/>
                <w:lang w:val="en-AU"/>
              </w:rPr>
              <w:t xml:space="preserve">413,952 </w:t>
            </w:r>
            <w:bookmarkEnd w:id="349"/>
          </w:p>
        </w:tc>
      </w:tr>
      <w:tr w:rsidR="00EB5679" w:rsidRPr="00476548">
        <w:trPr>
          <w:trHeight w:val="240"/>
        </w:trPr>
        <w:tc>
          <w:tcPr>
            <w:tcW w:w="5856" w:type="dxa"/>
            <w:tcBorders>
              <w:top w:val="nil"/>
              <w:left w:val="nil"/>
              <w:bottom w:val="nil"/>
              <w:right w:val="nil"/>
            </w:tcBorders>
            <w:shd w:val="clear" w:color="auto" w:fill="auto"/>
            <w:noWrap/>
            <w:vAlign w:val="center"/>
          </w:tcPr>
          <w:p w:rsidR="00EB5679" w:rsidRPr="00476548" w:rsidRDefault="00EB5679" w:rsidP="009F7D0F">
            <w:pPr>
              <w:spacing w:after="0" w:line="240" w:lineRule="auto"/>
              <w:ind w:firstLineChars="200" w:firstLine="280"/>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476548" w:rsidRDefault="00EB5679" w:rsidP="009F7D0F">
            <w:pPr>
              <w:spacing w:after="0" w:line="240" w:lineRule="auto"/>
              <w:ind w:firstLineChars="200" w:firstLine="280"/>
              <w:rPr>
                <w:rFonts w:eastAsia="Times New Roman" w:cs="Arial"/>
                <w:sz w:val="18"/>
                <w:szCs w:val="18"/>
                <w:lang w:val="en-AU"/>
              </w:rPr>
            </w:pPr>
          </w:p>
        </w:tc>
        <w:tc>
          <w:tcPr>
            <w:tcW w:w="366" w:type="dxa"/>
            <w:tcBorders>
              <w:top w:val="nil"/>
              <w:left w:val="nil"/>
              <w:bottom w:val="nil"/>
              <w:right w:val="nil"/>
            </w:tcBorders>
            <w:shd w:val="clear" w:color="auto" w:fill="auto"/>
            <w:noWrap/>
            <w:vAlign w:val="center"/>
          </w:tcPr>
          <w:p w:rsidR="00EB5679" w:rsidRPr="00476548" w:rsidRDefault="00EB5679" w:rsidP="009F7D0F">
            <w:pPr>
              <w:spacing w:after="0" w:line="240" w:lineRule="auto"/>
              <w:ind w:firstLineChars="200" w:firstLine="280"/>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r>
      <w:tr w:rsidR="00EB5679" w:rsidRPr="00476548">
        <w:trPr>
          <w:trHeight w:val="24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b/>
                <w:bCs/>
                <w:sz w:val="18"/>
                <w:szCs w:val="18"/>
                <w:u w:val="single"/>
                <w:lang w:val="en-AU"/>
              </w:rPr>
            </w:pPr>
            <w:r w:rsidRPr="00476548">
              <w:rPr>
                <w:rFonts w:eastAsia="Times New Roman" w:cs="Arial"/>
                <w:b/>
                <w:bCs/>
                <w:sz w:val="18"/>
                <w:szCs w:val="18"/>
                <w:u w:val="single"/>
                <w:lang w:val="en-AU"/>
              </w:rPr>
              <w:t>Note 9B:  Other Provisions</w:t>
            </w:r>
          </w:p>
        </w:tc>
        <w:tc>
          <w:tcPr>
            <w:tcW w:w="1176" w:type="dxa"/>
            <w:tcBorders>
              <w:top w:val="nil"/>
              <w:left w:val="nil"/>
              <w:bottom w:val="nil"/>
              <w:right w:val="nil"/>
            </w:tcBorders>
            <w:shd w:val="clear" w:color="auto" w:fill="auto"/>
          </w:tcPr>
          <w:p w:rsidR="00EB5679" w:rsidRPr="00476548" w:rsidRDefault="00EB5679" w:rsidP="0021465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476548" w:rsidRDefault="00EB5679" w:rsidP="00214658">
            <w:pPr>
              <w:spacing w:after="0" w:line="240" w:lineRule="auto"/>
              <w:jc w:val="right"/>
              <w:rPr>
                <w:rFonts w:eastAsia="Times New Roman" w:cs="Arial"/>
                <w:sz w:val="18"/>
                <w:szCs w:val="18"/>
                <w:lang w:val="en-AU"/>
              </w:rPr>
            </w:pPr>
          </w:p>
        </w:tc>
      </w:tr>
      <w:tr w:rsidR="00EB5679" w:rsidRPr="00476548">
        <w:trPr>
          <w:trHeight w:val="24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r w:rsidRPr="00476548">
              <w:rPr>
                <w:rFonts w:eastAsia="Times New Roman" w:cs="Arial"/>
                <w:sz w:val="18"/>
                <w:szCs w:val="18"/>
                <w:lang w:val="en-AU"/>
              </w:rPr>
              <w:t>Provision for restoration obligations</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82,000 </w:t>
            </w: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r w:rsidRPr="00476548">
              <w:rPr>
                <w:rFonts w:eastAsia="Times New Roman" w:cs="Arial"/>
                <w:sz w:val="18"/>
                <w:szCs w:val="18"/>
                <w:lang w:val="en-AU"/>
              </w:rPr>
              <w:t xml:space="preserve">83,960 </w:t>
            </w:r>
          </w:p>
        </w:tc>
      </w:tr>
      <w:tr w:rsidR="00EB5679" w:rsidRPr="00476548">
        <w:trPr>
          <w:trHeight w:val="240"/>
        </w:trPr>
        <w:tc>
          <w:tcPr>
            <w:tcW w:w="5856" w:type="dxa"/>
            <w:tcBorders>
              <w:top w:val="nil"/>
              <w:left w:val="nil"/>
              <w:bottom w:val="nil"/>
              <w:right w:val="nil"/>
            </w:tcBorders>
            <w:shd w:val="clear" w:color="auto" w:fill="auto"/>
            <w:noWrap/>
            <w:vAlign w:val="center"/>
          </w:tcPr>
          <w:p w:rsidR="00EB5679" w:rsidRPr="00476548" w:rsidRDefault="00EB5679" w:rsidP="00214658">
            <w:pPr>
              <w:spacing w:after="0" w:line="240" w:lineRule="auto"/>
              <w:rPr>
                <w:rFonts w:eastAsia="Times New Roman" w:cs="Arial"/>
                <w:b/>
                <w:bCs/>
                <w:sz w:val="18"/>
                <w:szCs w:val="18"/>
                <w:lang w:val="en-AU"/>
              </w:rPr>
            </w:pPr>
            <w:r w:rsidRPr="00476548">
              <w:rPr>
                <w:rFonts w:eastAsia="Times New Roman" w:cs="Arial"/>
                <w:b/>
                <w:bCs/>
                <w:sz w:val="18"/>
                <w:szCs w:val="18"/>
                <w:lang w:val="en-AU"/>
              </w:rPr>
              <w:t>Total other provisions</w:t>
            </w: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bookmarkStart w:id="350" w:name="RANGE!E17"/>
            <w:r w:rsidRPr="00476548">
              <w:rPr>
                <w:rFonts w:eastAsia="Times New Roman" w:cs="Arial"/>
                <w:b/>
                <w:bCs/>
                <w:sz w:val="18"/>
                <w:szCs w:val="18"/>
                <w:lang w:val="en-AU"/>
              </w:rPr>
              <w:t xml:space="preserve">82,000 </w:t>
            </w:r>
            <w:bookmarkEnd w:id="350"/>
          </w:p>
        </w:tc>
        <w:tc>
          <w:tcPr>
            <w:tcW w:w="366" w:type="dxa"/>
            <w:tcBorders>
              <w:top w:val="nil"/>
              <w:left w:val="nil"/>
              <w:bottom w:val="nil"/>
              <w:right w:val="nil"/>
            </w:tcBorders>
            <w:shd w:val="clear" w:color="auto" w:fill="auto"/>
          </w:tcPr>
          <w:p w:rsidR="00EB5679" w:rsidRPr="00476548"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bookmarkStart w:id="351" w:name="RANGE!G17"/>
            <w:r w:rsidRPr="00476548">
              <w:rPr>
                <w:rFonts w:eastAsia="Times New Roman" w:cs="Arial"/>
                <w:sz w:val="18"/>
                <w:szCs w:val="18"/>
                <w:lang w:val="en-AU"/>
              </w:rPr>
              <w:t xml:space="preserve">83,960 </w:t>
            </w:r>
            <w:bookmarkEnd w:id="351"/>
          </w:p>
        </w:tc>
      </w:tr>
      <w:tr w:rsidR="00EB5679" w:rsidRPr="00476548">
        <w:trPr>
          <w:trHeight w:val="240"/>
        </w:trPr>
        <w:tc>
          <w:tcPr>
            <w:tcW w:w="5856" w:type="dxa"/>
            <w:tcBorders>
              <w:top w:val="nil"/>
              <w:left w:val="nil"/>
              <w:bottom w:val="nil"/>
              <w:right w:val="nil"/>
            </w:tcBorders>
            <w:shd w:val="clear" w:color="auto" w:fill="auto"/>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p>
        </w:tc>
      </w:tr>
      <w:tr w:rsidR="00EB5679" w:rsidRPr="00476548">
        <w:trPr>
          <w:trHeight w:val="240"/>
        </w:trPr>
        <w:tc>
          <w:tcPr>
            <w:tcW w:w="5856" w:type="dxa"/>
            <w:tcBorders>
              <w:top w:val="nil"/>
              <w:left w:val="nil"/>
              <w:bottom w:val="nil"/>
              <w:right w:val="nil"/>
            </w:tcBorders>
            <w:shd w:val="clear" w:color="auto" w:fill="auto"/>
            <w:vAlign w:val="bottom"/>
          </w:tcPr>
          <w:p w:rsidR="00EB5679" w:rsidRPr="00476548" w:rsidRDefault="00EB5679" w:rsidP="00214658">
            <w:pPr>
              <w:spacing w:after="0" w:line="240" w:lineRule="auto"/>
              <w:rPr>
                <w:rFonts w:eastAsia="Times New Roman" w:cs="Arial"/>
                <w:b/>
                <w:bCs/>
                <w:sz w:val="18"/>
                <w:szCs w:val="18"/>
                <w:lang w:val="en-AU"/>
              </w:rPr>
            </w:pPr>
            <w:r w:rsidRPr="00476548">
              <w:rPr>
                <w:rFonts w:eastAsia="Times New Roman" w:cs="Arial"/>
                <w:b/>
                <w:bCs/>
                <w:sz w:val="18"/>
                <w:szCs w:val="18"/>
                <w:lang w:val="en-AU"/>
              </w:rPr>
              <w:t>Other provisions are expected to be settled in:</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p>
        </w:tc>
        <w:tc>
          <w:tcPr>
            <w:tcW w:w="366" w:type="dxa"/>
            <w:tcBorders>
              <w:top w:val="nil"/>
              <w:left w:val="nil"/>
              <w:bottom w:val="nil"/>
              <w:right w:val="nil"/>
            </w:tcBorders>
            <w:shd w:val="clear" w:color="auto" w:fill="auto"/>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p>
        </w:tc>
      </w:tr>
      <w:tr w:rsidR="00EB5679" w:rsidRPr="00476548">
        <w:trPr>
          <w:trHeight w:val="240"/>
        </w:trPr>
        <w:tc>
          <w:tcPr>
            <w:tcW w:w="5856" w:type="dxa"/>
            <w:tcBorders>
              <w:top w:val="nil"/>
              <w:left w:val="nil"/>
              <w:bottom w:val="nil"/>
              <w:right w:val="nil"/>
            </w:tcBorders>
            <w:shd w:val="clear" w:color="auto" w:fill="auto"/>
            <w:noWrap/>
          </w:tcPr>
          <w:p w:rsidR="00EB5679" w:rsidRPr="00476548" w:rsidRDefault="00EB5679" w:rsidP="009F7D0F">
            <w:pPr>
              <w:spacing w:after="0" w:line="240" w:lineRule="auto"/>
              <w:ind w:firstLineChars="200" w:firstLine="280"/>
              <w:rPr>
                <w:rFonts w:eastAsia="Times New Roman" w:cs="Arial"/>
                <w:sz w:val="18"/>
                <w:szCs w:val="18"/>
                <w:lang w:val="en-AU"/>
              </w:rPr>
            </w:pPr>
            <w:r w:rsidRPr="00476548">
              <w:rPr>
                <w:rFonts w:eastAsia="Times New Roman" w:cs="Arial"/>
                <w:sz w:val="18"/>
                <w:szCs w:val="18"/>
                <w:lang w:val="en-AU"/>
              </w:rPr>
              <w:t>More than 12 months</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82,000 </w:t>
            </w: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r w:rsidRPr="00476548">
              <w:rPr>
                <w:rFonts w:eastAsia="Times New Roman" w:cs="Arial"/>
                <w:sz w:val="18"/>
                <w:szCs w:val="18"/>
                <w:lang w:val="en-AU"/>
              </w:rPr>
              <w:t xml:space="preserve">83,960 </w:t>
            </w:r>
          </w:p>
        </w:tc>
      </w:tr>
      <w:tr w:rsidR="00EB5679" w:rsidRPr="00476548">
        <w:trPr>
          <w:trHeight w:val="240"/>
        </w:trPr>
        <w:tc>
          <w:tcPr>
            <w:tcW w:w="5856" w:type="dxa"/>
            <w:tcBorders>
              <w:top w:val="nil"/>
              <w:left w:val="nil"/>
              <w:bottom w:val="nil"/>
              <w:right w:val="nil"/>
            </w:tcBorders>
            <w:shd w:val="clear" w:color="auto" w:fill="auto"/>
            <w:noWrap/>
            <w:vAlign w:val="center"/>
          </w:tcPr>
          <w:p w:rsidR="00EB5679" w:rsidRPr="00476548" w:rsidRDefault="00EB5679" w:rsidP="00214658">
            <w:pPr>
              <w:spacing w:after="0" w:line="240" w:lineRule="auto"/>
              <w:rPr>
                <w:rFonts w:eastAsia="Times New Roman" w:cs="Arial"/>
                <w:b/>
                <w:bCs/>
                <w:sz w:val="18"/>
                <w:szCs w:val="18"/>
                <w:lang w:val="en-AU"/>
              </w:rPr>
            </w:pPr>
            <w:r w:rsidRPr="00476548">
              <w:rPr>
                <w:rFonts w:eastAsia="Times New Roman" w:cs="Arial"/>
                <w:b/>
                <w:bCs/>
                <w:sz w:val="18"/>
                <w:szCs w:val="18"/>
                <w:lang w:val="en-AU"/>
              </w:rPr>
              <w:t>Total other provisions</w:t>
            </w: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bookmarkStart w:id="352" w:name="RANGE!E22"/>
            <w:r w:rsidRPr="00476548">
              <w:rPr>
                <w:rFonts w:eastAsia="Times New Roman" w:cs="Arial"/>
                <w:b/>
                <w:bCs/>
                <w:sz w:val="18"/>
                <w:szCs w:val="18"/>
                <w:lang w:val="en-AU"/>
              </w:rPr>
              <w:t xml:space="preserve">82,000 </w:t>
            </w:r>
            <w:bookmarkEnd w:id="352"/>
          </w:p>
        </w:tc>
        <w:tc>
          <w:tcPr>
            <w:tcW w:w="366" w:type="dxa"/>
            <w:tcBorders>
              <w:top w:val="nil"/>
              <w:left w:val="nil"/>
              <w:bottom w:val="nil"/>
              <w:right w:val="nil"/>
            </w:tcBorders>
            <w:shd w:val="clear" w:color="auto" w:fill="auto"/>
          </w:tcPr>
          <w:p w:rsidR="00EB5679" w:rsidRPr="00476548"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sz w:val="18"/>
                <w:szCs w:val="18"/>
                <w:lang w:val="en-AU"/>
              </w:rPr>
            </w:pPr>
            <w:bookmarkStart w:id="353" w:name="RANGE!G22"/>
            <w:r w:rsidRPr="00476548">
              <w:rPr>
                <w:rFonts w:eastAsia="Times New Roman" w:cs="Arial"/>
                <w:sz w:val="18"/>
                <w:szCs w:val="18"/>
                <w:lang w:val="en-AU"/>
              </w:rPr>
              <w:t xml:space="preserve">83,960 </w:t>
            </w:r>
            <w:bookmarkEnd w:id="353"/>
          </w:p>
        </w:tc>
      </w:tr>
      <w:tr w:rsidR="00EB5679" w:rsidRPr="00476548">
        <w:trPr>
          <w:trHeight w:val="24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p>
        </w:tc>
        <w:tc>
          <w:tcPr>
            <w:tcW w:w="36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p>
        </w:tc>
      </w:tr>
      <w:tr w:rsidR="00EB5679" w:rsidRPr="00476548">
        <w:trPr>
          <w:trHeight w:val="440"/>
        </w:trPr>
        <w:tc>
          <w:tcPr>
            <w:tcW w:w="5856" w:type="dxa"/>
            <w:tcBorders>
              <w:top w:val="single" w:sz="4" w:space="0" w:color="auto"/>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r w:rsidRPr="00476548">
              <w:rPr>
                <w:rFonts w:eastAsia="Times New Roman" w:cs="Arial"/>
                <w:sz w:val="18"/>
                <w:szCs w:val="18"/>
                <w:lang w:val="en-AU"/>
              </w:rPr>
              <w:t> </w:t>
            </w:r>
          </w:p>
        </w:tc>
        <w:tc>
          <w:tcPr>
            <w:tcW w:w="1176" w:type="dxa"/>
            <w:tcBorders>
              <w:top w:val="single" w:sz="4" w:space="0" w:color="auto"/>
              <w:left w:val="nil"/>
              <w:bottom w:val="nil"/>
              <w:right w:val="nil"/>
            </w:tcBorders>
            <w:shd w:val="clear" w:color="auto" w:fill="auto"/>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Provision for restoration</w:t>
            </w:r>
          </w:p>
        </w:tc>
        <w:tc>
          <w:tcPr>
            <w:tcW w:w="366" w:type="dxa"/>
            <w:tcBorders>
              <w:top w:val="single" w:sz="4" w:space="0" w:color="auto"/>
              <w:left w:val="nil"/>
              <w:bottom w:val="nil"/>
              <w:right w:val="nil"/>
            </w:tcBorders>
            <w:shd w:val="clear" w:color="auto" w:fill="auto"/>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w:t>
            </w:r>
          </w:p>
        </w:tc>
        <w:tc>
          <w:tcPr>
            <w:tcW w:w="1176" w:type="dxa"/>
            <w:tcBorders>
              <w:top w:val="single" w:sz="4" w:space="0" w:color="auto"/>
              <w:left w:val="nil"/>
              <w:bottom w:val="nil"/>
              <w:right w:val="nil"/>
            </w:tcBorders>
            <w:shd w:val="clear" w:color="auto" w:fill="auto"/>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Total</w:t>
            </w:r>
          </w:p>
        </w:tc>
      </w:tr>
      <w:tr w:rsidR="00EB5679" w:rsidRPr="00476548">
        <w:trPr>
          <w:trHeight w:val="240"/>
        </w:trPr>
        <w:tc>
          <w:tcPr>
            <w:tcW w:w="5856" w:type="dxa"/>
            <w:tcBorders>
              <w:top w:val="nil"/>
              <w:left w:val="nil"/>
              <w:bottom w:val="single" w:sz="4" w:space="0" w:color="auto"/>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r w:rsidRPr="00476548">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w:t>
            </w:r>
          </w:p>
        </w:tc>
        <w:tc>
          <w:tcPr>
            <w:tcW w:w="366" w:type="dxa"/>
            <w:tcBorders>
              <w:top w:val="nil"/>
              <w:left w:val="nil"/>
              <w:bottom w:val="single" w:sz="4" w:space="0" w:color="auto"/>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r w:rsidRPr="00476548">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w:t>
            </w:r>
          </w:p>
        </w:tc>
      </w:tr>
      <w:tr w:rsidR="00EB5679" w:rsidRPr="00476548">
        <w:trPr>
          <w:trHeight w:val="24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b/>
                <w:bCs/>
                <w:sz w:val="18"/>
                <w:szCs w:val="18"/>
                <w:lang w:val="en-AU"/>
              </w:rPr>
            </w:pPr>
            <w:r w:rsidRPr="00476548">
              <w:rPr>
                <w:rFonts w:eastAsia="Times New Roman" w:cs="Arial"/>
                <w:b/>
                <w:bCs/>
                <w:sz w:val="18"/>
                <w:szCs w:val="18"/>
                <w:lang w:val="en-AU"/>
              </w:rPr>
              <w:t>Carrying amount 1 July 2013</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83,960 </w:t>
            </w: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bookmarkStart w:id="354" w:name="RANGE!G26"/>
            <w:r w:rsidRPr="00476548">
              <w:rPr>
                <w:rFonts w:eastAsia="Times New Roman" w:cs="Arial"/>
                <w:b/>
                <w:bCs/>
                <w:sz w:val="18"/>
                <w:szCs w:val="18"/>
                <w:lang w:val="en-AU"/>
              </w:rPr>
              <w:t xml:space="preserve">83,960 </w:t>
            </w:r>
            <w:bookmarkEnd w:id="354"/>
          </w:p>
        </w:tc>
      </w:tr>
      <w:tr w:rsidR="00EB5679" w:rsidRPr="00476548">
        <w:trPr>
          <w:trHeight w:val="24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r w:rsidRPr="00476548">
              <w:rPr>
                <w:rFonts w:eastAsia="Times New Roman" w:cs="Arial"/>
                <w:sz w:val="18"/>
                <w:szCs w:val="18"/>
                <w:lang w:val="en-AU"/>
              </w:rPr>
              <w:t>Amounts reversed</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(2,840)</w:t>
            </w: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(2,840)</w:t>
            </w:r>
          </w:p>
        </w:tc>
      </w:tr>
      <w:tr w:rsidR="00EB5679" w:rsidRPr="00476548">
        <w:trPr>
          <w:trHeight w:val="24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r w:rsidRPr="00476548">
              <w:rPr>
                <w:rFonts w:eastAsia="Times New Roman" w:cs="Arial"/>
                <w:sz w:val="18"/>
                <w:szCs w:val="18"/>
                <w:lang w:val="en-AU"/>
              </w:rPr>
              <w:t>Unwinding of discount or change in discount rate</w:t>
            </w: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880 </w:t>
            </w:r>
          </w:p>
        </w:tc>
        <w:tc>
          <w:tcPr>
            <w:tcW w:w="36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880 </w:t>
            </w:r>
          </w:p>
        </w:tc>
      </w:tr>
      <w:tr w:rsidR="00EB5679" w:rsidRPr="00476548">
        <w:trPr>
          <w:trHeight w:val="240"/>
        </w:trPr>
        <w:tc>
          <w:tcPr>
            <w:tcW w:w="585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rPr>
                <w:rFonts w:eastAsia="Times New Roman" w:cs="Arial"/>
                <w:b/>
                <w:bCs/>
                <w:sz w:val="18"/>
                <w:szCs w:val="18"/>
                <w:lang w:val="en-AU"/>
              </w:rPr>
            </w:pPr>
            <w:r w:rsidRPr="00476548">
              <w:rPr>
                <w:rFonts w:eastAsia="Times New Roman" w:cs="Arial"/>
                <w:b/>
                <w:bCs/>
                <w:sz w:val="18"/>
                <w:szCs w:val="18"/>
                <w:lang w:val="en-AU"/>
              </w:rPr>
              <w:t>Closing balance 2014</w:t>
            </w: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xml:space="preserve">82,000 </w:t>
            </w:r>
          </w:p>
        </w:tc>
        <w:tc>
          <w:tcPr>
            <w:tcW w:w="36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r w:rsidRPr="00476548">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476548" w:rsidRDefault="00EB5679" w:rsidP="00214658">
            <w:pPr>
              <w:spacing w:after="0" w:line="240" w:lineRule="auto"/>
              <w:jc w:val="right"/>
              <w:rPr>
                <w:rFonts w:eastAsia="Times New Roman" w:cs="Arial"/>
                <w:b/>
                <w:bCs/>
                <w:sz w:val="18"/>
                <w:szCs w:val="18"/>
                <w:lang w:val="en-AU"/>
              </w:rPr>
            </w:pPr>
            <w:bookmarkStart w:id="355" w:name="RANGE!G31"/>
            <w:r w:rsidRPr="00476548">
              <w:rPr>
                <w:rFonts w:eastAsia="Times New Roman" w:cs="Arial"/>
                <w:b/>
                <w:bCs/>
                <w:sz w:val="18"/>
                <w:szCs w:val="18"/>
                <w:lang w:val="en-AU"/>
              </w:rPr>
              <w:t xml:space="preserve">82,000 </w:t>
            </w:r>
            <w:bookmarkEnd w:id="355"/>
          </w:p>
        </w:tc>
      </w:tr>
      <w:tr w:rsidR="00EB5679" w:rsidRPr="00476548">
        <w:trPr>
          <w:trHeight w:val="240"/>
        </w:trPr>
        <w:tc>
          <w:tcPr>
            <w:tcW w:w="8574" w:type="dxa"/>
            <w:gridSpan w:val="4"/>
            <w:tcBorders>
              <w:top w:val="nil"/>
              <w:left w:val="nil"/>
              <w:bottom w:val="nil"/>
              <w:right w:val="nil"/>
            </w:tcBorders>
            <w:shd w:val="clear" w:color="auto" w:fill="auto"/>
            <w:noWrap/>
            <w:vAlign w:val="bottom"/>
          </w:tcPr>
          <w:p w:rsidR="00EB5679" w:rsidRPr="00476548" w:rsidRDefault="00EB5679" w:rsidP="00214658">
            <w:pPr>
              <w:spacing w:after="0" w:line="240" w:lineRule="auto"/>
              <w:rPr>
                <w:rFonts w:eastAsia="Times New Roman" w:cs="Arial"/>
                <w:sz w:val="18"/>
                <w:szCs w:val="18"/>
                <w:lang w:val="en-AU"/>
              </w:rPr>
            </w:pPr>
          </w:p>
        </w:tc>
      </w:tr>
      <w:tr w:rsidR="00EB5679" w:rsidRPr="00476548">
        <w:trPr>
          <w:trHeight w:val="60"/>
        </w:trPr>
        <w:tc>
          <w:tcPr>
            <w:tcW w:w="585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p>
        </w:tc>
        <w:tc>
          <w:tcPr>
            <w:tcW w:w="36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p>
        </w:tc>
      </w:tr>
      <w:tr w:rsidR="00EB5679" w:rsidRPr="00476548">
        <w:trPr>
          <w:trHeight w:val="740"/>
        </w:trPr>
        <w:tc>
          <w:tcPr>
            <w:tcW w:w="8574" w:type="dxa"/>
            <w:gridSpan w:val="4"/>
            <w:tcBorders>
              <w:top w:val="nil"/>
              <w:left w:val="nil"/>
              <w:bottom w:val="nil"/>
              <w:right w:val="nil"/>
            </w:tcBorders>
            <w:shd w:val="clear" w:color="auto" w:fill="auto"/>
          </w:tcPr>
          <w:p w:rsidR="00EB5679" w:rsidRPr="00476548" w:rsidRDefault="00EB5679" w:rsidP="00214658">
            <w:pPr>
              <w:spacing w:after="0" w:line="240" w:lineRule="auto"/>
              <w:rPr>
                <w:rFonts w:eastAsia="Times New Roman" w:cs="Arial"/>
                <w:sz w:val="18"/>
                <w:szCs w:val="18"/>
                <w:lang w:val="en-AU"/>
              </w:rPr>
            </w:pPr>
            <w:r w:rsidRPr="00476548">
              <w:rPr>
                <w:rFonts w:eastAsia="Times New Roman" w:cs="Arial"/>
                <w:sz w:val="18"/>
                <w:szCs w:val="18"/>
                <w:lang w:val="en-AU"/>
              </w:rPr>
              <w:t xml:space="preserve">PSR currently has an agreement for the leasing of </w:t>
            </w:r>
            <w:proofErr w:type="gramStart"/>
            <w:r w:rsidRPr="00476548">
              <w:rPr>
                <w:rFonts w:eastAsia="Times New Roman" w:cs="Arial"/>
                <w:sz w:val="18"/>
                <w:szCs w:val="18"/>
                <w:lang w:val="en-AU"/>
              </w:rPr>
              <w:t>premises which</w:t>
            </w:r>
            <w:proofErr w:type="gramEnd"/>
            <w:r w:rsidRPr="00476548">
              <w:rPr>
                <w:rFonts w:eastAsia="Times New Roman" w:cs="Arial"/>
                <w:sz w:val="18"/>
                <w:szCs w:val="18"/>
                <w:lang w:val="en-AU"/>
              </w:rPr>
              <w:t xml:space="preserve"> include provisions requiring PSR to restore the premises to its original condition at the conclusion of the lease.  PSR has made a provision to reflect the present value of this obligation.</w:t>
            </w:r>
          </w:p>
        </w:tc>
      </w:tr>
    </w:tbl>
    <w:p w:rsidR="00BF6798" w:rsidRDefault="00BF6798"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p>
    <w:tbl>
      <w:tblPr>
        <w:tblW w:w="11731" w:type="dxa"/>
        <w:tblInd w:w="108" w:type="dxa"/>
        <w:tblLayout w:type="fixed"/>
        <w:tblLook w:val="04A0"/>
      </w:tblPr>
      <w:tblGrid>
        <w:gridCol w:w="5445"/>
        <w:gridCol w:w="1065"/>
        <w:gridCol w:w="271"/>
        <w:gridCol w:w="1176"/>
        <w:gridCol w:w="1416"/>
        <w:gridCol w:w="1176"/>
        <w:gridCol w:w="1182"/>
      </w:tblGrid>
      <w:tr w:rsidR="00BF6798" w:rsidRPr="00BF6798">
        <w:trPr>
          <w:trHeight w:val="240"/>
        </w:trPr>
        <w:tc>
          <w:tcPr>
            <w:tcW w:w="5445"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065" w:type="dxa"/>
            <w:tcBorders>
              <w:top w:val="nil"/>
              <w:left w:val="nil"/>
              <w:bottom w:val="nil"/>
              <w:right w:val="nil"/>
            </w:tcBorders>
            <w:shd w:val="clear" w:color="auto" w:fill="auto"/>
            <w:noWrap/>
            <w:vAlign w:val="bottom"/>
          </w:tcPr>
          <w:p w:rsidR="00BF6798" w:rsidRPr="00BF6798" w:rsidRDefault="00BF6798" w:rsidP="00BF6798">
            <w:pPr>
              <w:spacing w:after="0" w:line="240" w:lineRule="auto"/>
              <w:jc w:val="right"/>
              <w:rPr>
                <w:rFonts w:ascii="Times New Roman" w:eastAsia="Times New Roman" w:hAnsi="Times New Roman" w:cs="Times New Roman"/>
                <w:sz w:val="18"/>
                <w:szCs w:val="18"/>
                <w:lang w:val="en-AU"/>
              </w:rPr>
            </w:pPr>
          </w:p>
        </w:tc>
        <w:tc>
          <w:tcPr>
            <w:tcW w:w="271"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176" w:type="dxa"/>
            <w:tcBorders>
              <w:top w:val="nil"/>
              <w:left w:val="nil"/>
              <w:bottom w:val="nil"/>
              <w:right w:val="nil"/>
            </w:tcBorders>
            <w:shd w:val="clear" w:color="auto" w:fill="auto"/>
            <w:noWrap/>
            <w:vAlign w:val="bottom"/>
          </w:tcPr>
          <w:p w:rsidR="00BF6798" w:rsidRPr="00BF6798" w:rsidRDefault="00BF6798" w:rsidP="00BF6798">
            <w:pPr>
              <w:spacing w:after="0" w:line="240" w:lineRule="auto"/>
              <w:jc w:val="right"/>
              <w:rPr>
                <w:rFonts w:ascii="Times New Roman" w:eastAsia="Times New Roman" w:hAnsi="Times New Roman" w:cs="Times New Roman"/>
                <w:sz w:val="18"/>
                <w:szCs w:val="18"/>
                <w:lang w:val="en-AU"/>
              </w:rPr>
            </w:pPr>
          </w:p>
        </w:tc>
        <w:tc>
          <w:tcPr>
            <w:tcW w:w="141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176"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c>
          <w:tcPr>
            <w:tcW w:w="1182" w:type="dxa"/>
            <w:tcBorders>
              <w:top w:val="nil"/>
              <w:left w:val="nil"/>
              <w:bottom w:val="nil"/>
              <w:right w:val="nil"/>
            </w:tcBorders>
            <w:shd w:val="clear" w:color="auto" w:fill="auto"/>
            <w:noWrap/>
            <w:vAlign w:val="bottom"/>
          </w:tcPr>
          <w:p w:rsidR="00BF6798" w:rsidRPr="00BF6798" w:rsidRDefault="00BF6798" w:rsidP="00BF6798">
            <w:pPr>
              <w:spacing w:after="0" w:line="240" w:lineRule="auto"/>
              <w:rPr>
                <w:rFonts w:ascii="Times New Roman" w:eastAsia="Times New Roman" w:hAnsi="Times New Roman" w:cs="Times New Roman"/>
                <w:sz w:val="18"/>
                <w:szCs w:val="18"/>
                <w:lang w:val="en-AU"/>
              </w:rPr>
            </w:pPr>
          </w:p>
        </w:tc>
      </w:tr>
    </w:tbl>
    <w:p w:rsidR="003C5D3F" w:rsidRDefault="003C5D3F"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p>
    <w:p w:rsidR="00EB5679" w:rsidRDefault="003C5D3F"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r>
        <w:rPr>
          <w:rFonts w:ascii="SamoSansPro-Medium" w:hAnsi="SamoSansPro-Medium" w:cs="SamoSansPro-Medium"/>
          <w:color w:val="28254D"/>
          <w:sz w:val="36"/>
          <w:szCs w:val="36"/>
          <w:lang w:val="en-GB"/>
        </w:rPr>
        <w:br w:type="page"/>
      </w:r>
    </w:p>
    <w:tbl>
      <w:tblPr>
        <w:tblW w:w="8780" w:type="dxa"/>
        <w:tblInd w:w="108" w:type="dxa"/>
        <w:tblLook w:val="04A0"/>
      </w:tblPr>
      <w:tblGrid>
        <w:gridCol w:w="5923"/>
        <w:gridCol w:w="1175"/>
        <w:gridCol w:w="271"/>
        <w:gridCol w:w="1175"/>
        <w:gridCol w:w="236"/>
      </w:tblGrid>
      <w:tr w:rsidR="00EB5679" w:rsidRPr="003C5D3F">
        <w:trPr>
          <w:trHeight w:val="360"/>
        </w:trPr>
        <w:tc>
          <w:tcPr>
            <w:tcW w:w="6016" w:type="dxa"/>
            <w:tcBorders>
              <w:top w:val="nil"/>
              <w:left w:val="nil"/>
              <w:right w:val="nil"/>
            </w:tcBorders>
            <w:shd w:val="clear" w:color="auto" w:fill="auto"/>
            <w:noWrap/>
            <w:vAlign w:val="center"/>
          </w:tcPr>
          <w:p w:rsidR="00EB5679" w:rsidRPr="003C5D3F" w:rsidRDefault="00EB5679" w:rsidP="00AA0477">
            <w:pPr>
              <w:rPr>
                <w:lang w:val="en-AU"/>
              </w:rPr>
            </w:pPr>
            <w:r w:rsidRPr="003C5D3F">
              <w:rPr>
                <w:lang w:val="en-AU"/>
              </w:rPr>
              <w:t>Notes to and forming part of the financial statements</w:t>
            </w:r>
          </w:p>
        </w:tc>
        <w:tc>
          <w:tcPr>
            <w:tcW w:w="117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21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17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96" w:type="dxa"/>
            <w:tcBorders>
              <w:top w:val="nil"/>
              <w:left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r>
      <w:tr w:rsidR="00EB5679" w:rsidRPr="003C5D3F">
        <w:trPr>
          <w:trHeight w:val="300"/>
        </w:trPr>
        <w:tc>
          <w:tcPr>
            <w:tcW w:w="6016" w:type="dxa"/>
            <w:tcBorders>
              <w:top w:val="nil"/>
              <w:left w:val="nil"/>
              <w:bottom w:val="single" w:sz="4" w:space="0" w:color="auto"/>
              <w:right w:val="nil"/>
            </w:tcBorders>
            <w:shd w:val="clear" w:color="auto" w:fill="auto"/>
            <w:noWrap/>
          </w:tcPr>
          <w:p w:rsidR="00EB5679" w:rsidRPr="003C5D3F" w:rsidRDefault="00EB5679" w:rsidP="00AA0477">
            <w:pPr>
              <w:pStyle w:val="Financialsnotehead"/>
            </w:pPr>
            <w:r w:rsidRPr="003C5D3F">
              <w:t>Note 10: Cash Flow Reconciliation</w:t>
            </w:r>
          </w:p>
        </w:tc>
        <w:tc>
          <w:tcPr>
            <w:tcW w:w="117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21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96" w:type="dxa"/>
            <w:tcBorders>
              <w:top w:val="nil"/>
              <w:left w:val="nil"/>
              <w:bottom w:val="single" w:sz="4" w:space="0" w:color="auto"/>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r>
      <w:tr w:rsidR="00EB5679" w:rsidRPr="003C5D3F">
        <w:trPr>
          <w:trHeight w:val="99"/>
        </w:trPr>
        <w:tc>
          <w:tcPr>
            <w:tcW w:w="6016" w:type="dxa"/>
            <w:tcBorders>
              <w:top w:val="single" w:sz="4" w:space="0" w:color="auto"/>
              <w:left w:val="nil"/>
              <w:bottom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c>
          <w:tcPr>
            <w:tcW w:w="1176" w:type="dxa"/>
            <w:tcBorders>
              <w:top w:val="single" w:sz="4" w:space="0" w:color="auto"/>
              <w:left w:val="nil"/>
              <w:bottom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c>
          <w:tcPr>
            <w:tcW w:w="216" w:type="dxa"/>
            <w:tcBorders>
              <w:top w:val="single" w:sz="4" w:space="0" w:color="auto"/>
              <w:left w:val="nil"/>
              <w:bottom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c>
          <w:tcPr>
            <w:tcW w:w="1176" w:type="dxa"/>
            <w:tcBorders>
              <w:top w:val="single" w:sz="4" w:space="0" w:color="auto"/>
              <w:left w:val="nil"/>
              <w:bottom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c>
          <w:tcPr>
            <w:tcW w:w="196" w:type="dxa"/>
            <w:tcBorders>
              <w:top w:val="single" w:sz="4" w:space="0" w:color="auto"/>
              <w:left w:val="nil"/>
              <w:bottom w:val="nil"/>
              <w:right w:val="nil"/>
            </w:tcBorders>
            <w:shd w:val="clear" w:color="auto" w:fill="auto"/>
            <w:noWrap/>
            <w:vAlign w:val="bottom"/>
          </w:tcPr>
          <w:p w:rsidR="00EB5679" w:rsidRPr="003C5D3F" w:rsidRDefault="00EB5679" w:rsidP="00214658">
            <w:pPr>
              <w:spacing w:after="0" w:line="240" w:lineRule="auto"/>
              <w:rPr>
                <w:rFonts w:ascii="Times New Roman" w:eastAsia="Times New Roman" w:hAnsi="Times New Roman" w:cs="Times New Roman"/>
                <w:sz w:val="18"/>
                <w:szCs w:val="18"/>
                <w:lang w:val="en-AU"/>
              </w:rPr>
            </w:pPr>
          </w:p>
        </w:tc>
      </w:tr>
      <w:tr w:rsidR="00EB5679" w:rsidRPr="00AA0477">
        <w:trPr>
          <w:trHeight w:val="240"/>
        </w:trPr>
        <w:tc>
          <w:tcPr>
            <w:tcW w:w="6016" w:type="dxa"/>
            <w:tcBorders>
              <w:top w:val="nil"/>
              <w:left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 2014 </w:t>
            </w:r>
          </w:p>
        </w:tc>
        <w:tc>
          <w:tcPr>
            <w:tcW w:w="216" w:type="dxa"/>
            <w:tcBorders>
              <w:top w:val="nil"/>
              <w:left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 2013 </w:t>
            </w:r>
          </w:p>
        </w:tc>
        <w:tc>
          <w:tcPr>
            <w:tcW w:w="196" w:type="dxa"/>
            <w:tcBorders>
              <w:top w:val="nil"/>
              <w:left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single" w:sz="4" w:space="0" w:color="auto"/>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w:t>
            </w:r>
          </w:p>
        </w:tc>
        <w:tc>
          <w:tcPr>
            <w:tcW w:w="216" w:type="dxa"/>
            <w:tcBorders>
              <w:top w:val="nil"/>
              <w:left w:val="nil"/>
              <w:bottom w:val="single" w:sz="4" w:space="0" w:color="auto"/>
              <w:right w:val="nil"/>
            </w:tcBorders>
            <w:shd w:val="clear" w:color="auto" w:fill="auto"/>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single" w:sz="4" w:space="0" w:color="auto"/>
              <w:right w:val="nil"/>
            </w:tcBorders>
            <w:shd w:val="clear" w:color="auto" w:fill="auto"/>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w:t>
            </w:r>
          </w:p>
        </w:tc>
        <w:tc>
          <w:tcPr>
            <w:tcW w:w="196" w:type="dxa"/>
            <w:tcBorders>
              <w:top w:val="nil"/>
              <w:left w:val="nil"/>
              <w:bottom w:val="single" w:sz="4" w:space="0" w:color="auto"/>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500"/>
        </w:trPr>
        <w:tc>
          <w:tcPr>
            <w:tcW w:w="6016" w:type="dxa"/>
            <w:tcBorders>
              <w:top w:val="single" w:sz="4" w:space="0" w:color="auto"/>
              <w:left w:val="nil"/>
              <w:bottom w:val="nil"/>
              <w:right w:val="nil"/>
            </w:tcBorders>
            <w:shd w:val="clear" w:color="auto" w:fill="auto"/>
          </w:tcPr>
          <w:p w:rsidR="005509F4" w:rsidRDefault="005509F4" w:rsidP="005509F4">
            <w:pPr>
              <w:spacing w:after="0" w:line="240" w:lineRule="auto"/>
              <w:rPr>
                <w:rFonts w:eastAsia="Times New Roman" w:cs="Arial"/>
                <w:b/>
                <w:bCs/>
                <w:sz w:val="18"/>
                <w:szCs w:val="18"/>
                <w:lang w:val="en-AU"/>
              </w:rPr>
            </w:pPr>
          </w:p>
          <w:p w:rsidR="00EB5679" w:rsidRPr="00AA0477" w:rsidRDefault="00EB5679" w:rsidP="005509F4">
            <w:pPr>
              <w:spacing w:after="0" w:line="240" w:lineRule="auto"/>
              <w:rPr>
                <w:rFonts w:eastAsia="Times New Roman" w:cs="Arial"/>
                <w:b/>
                <w:bCs/>
                <w:sz w:val="18"/>
                <w:szCs w:val="18"/>
                <w:lang w:val="en-AU"/>
              </w:rPr>
            </w:pPr>
            <w:r w:rsidRPr="00AA0477">
              <w:rPr>
                <w:rFonts w:eastAsia="Times New Roman" w:cs="Arial"/>
                <w:b/>
                <w:bCs/>
                <w:sz w:val="18"/>
                <w:szCs w:val="18"/>
                <w:lang w:val="en-AU"/>
              </w:rPr>
              <w:t xml:space="preserve">Reconciliation of cash and cash equivalents as per </w:t>
            </w:r>
            <w:r w:rsidR="005509F4">
              <w:rPr>
                <w:rFonts w:eastAsia="Times New Roman" w:cs="Arial"/>
                <w:b/>
                <w:bCs/>
                <w:sz w:val="18"/>
                <w:szCs w:val="18"/>
                <w:lang w:val="en-AU"/>
              </w:rPr>
              <w:t>Statement of Financial Position</w:t>
            </w:r>
            <w:r w:rsidRPr="00AA0477">
              <w:rPr>
                <w:rFonts w:eastAsia="Times New Roman" w:cs="Arial"/>
                <w:b/>
                <w:bCs/>
                <w:sz w:val="18"/>
                <w:szCs w:val="18"/>
                <w:lang w:val="en-AU"/>
              </w:rPr>
              <w:t xml:space="preserve"> to Cash Flow Statement</w:t>
            </w:r>
          </w:p>
        </w:tc>
        <w:tc>
          <w:tcPr>
            <w:tcW w:w="1176" w:type="dxa"/>
            <w:tcBorders>
              <w:top w:val="single" w:sz="4" w:space="0" w:color="auto"/>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216" w:type="dxa"/>
            <w:tcBorders>
              <w:top w:val="single" w:sz="4" w:space="0" w:color="auto"/>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1176" w:type="dxa"/>
            <w:tcBorders>
              <w:top w:val="single" w:sz="4" w:space="0" w:color="auto"/>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196" w:type="dxa"/>
            <w:tcBorders>
              <w:top w:val="single" w:sz="4" w:space="0" w:color="auto"/>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r>
      <w:tr w:rsidR="00EB5679" w:rsidRPr="00AA0477">
        <w:trPr>
          <w:trHeight w:val="12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2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19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r>
      <w:tr w:rsidR="00EB5679" w:rsidRPr="00AA0477">
        <w:trPr>
          <w:trHeight w:val="240"/>
        </w:trPr>
        <w:tc>
          <w:tcPr>
            <w:tcW w:w="601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b/>
                <w:bCs/>
                <w:sz w:val="18"/>
                <w:szCs w:val="18"/>
                <w:lang w:val="en-AU"/>
              </w:rPr>
            </w:pPr>
            <w:r w:rsidRPr="00AA0477">
              <w:rPr>
                <w:rFonts w:eastAsia="Times New Roman" w:cs="Arial"/>
                <w:b/>
                <w:bCs/>
                <w:sz w:val="18"/>
                <w:szCs w:val="18"/>
                <w:lang w:val="en-AU"/>
              </w:rPr>
              <w:t>Cash and cash equivalents as per:</w:t>
            </w:r>
          </w:p>
        </w:tc>
        <w:tc>
          <w:tcPr>
            <w:tcW w:w="117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2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Cash flow statement</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78,925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96,226 </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Statement of financial position</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78,925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96,226 </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r w:rsidRPr="00AA0477">
              <w:rPr>
                <w:rFonts w:eastAsia="Times New Roman" w:cs="Arial"/>
                <w:b/>
                <w:bCs/>
                <w:sz w:val="18"/>
                <w:szCs w:val="18"/>
                <w:lang w:val="en-AU"/>
              </w:rPr>
              <w:t>Difference</w:t>
            </w:r>
          </w:p>
        </w:tc>
        <w:tc>
          <w:tcPr>
            <w:tcW w:w="1176" w:type="dxa"/>
            <w:tcBorders>
              <w:top w:val="single" w:sz="4" w:space="0" w:color="auto"/>
              <w:left w:val="nil"/>
              <w:bottom w:val="single" w:sz="4" w:space="0" w:color="auto"/>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 -</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noWrap/>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tcPr>
          <w:p w:rsidR="00EB5679" w:rsidRPr="00AA0477" w:rsidRDefault="00EB5679" w:rsidP="00214658">
            <w:pPr>
              <w:spacing w:after="0" w:line="240" w:lineRule="auto"/>
              <w:rPr>
                <w:rFonts w:eastAsia="Times New Roman" w:cs="Arial"/>
                <w:sz w:val="18"/>
                <w:szCs w:val="18"/>
                <w:lang w:val="en-AU"/>
              </w:rPr>
            </w:pPr>
          </w:p>
        </w:tc>
        <w:tc>
          <w:tcPr>
            <w:tcW w:w="216" w:type="dxa"/>
            <w:tcBorders>
              <w:top w:val="nil"/>
              <w:left w:val="nil"/>
              <w:bottom w:val="nil"/>
              <w:right w:val="nil"/>
            </w:tcBorders>
            <w:shd w:val="clear" w:color="auto" w:fill="auto"/>
            <w:noWrap/>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tcPr>
          <w:p w:rsidR="00EB5679" w:rsidRPr="00AA0477" w:rsidRDefault="00EB5679" w:rsidP="00214658">
            <w:pPr>
              <w:spacing w:after="0" w:line="240" w:lineRule="auto"/>
              <w:rPr>
                <w:rFonts w:eastAsia="Times New Roman" w:cs="Arial"/>
                <w:sz w:val="18"/>
                <w:szCs w:val="18"/>
                <w:lang w:val="en-AU"/>
              </w:rPr>
            </w:pP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50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r w:rsidRPr="00AA0477">
              <w:rPr>
                <w:rFonts w:eastAsia="Times New Roman" w:cs="Arial"/>
                <w:b/>
                <w:bCs/>
                <w:sz w:val="18"/>
                <w:szCs w:val="18"/>
                <w:lang w:val="en-AU"/>
              </w:rPr>
              <w:t>Reconciliation of net cost of services to net cash from operating activities:</w:t>
            </w:r>
          </w:p>
        </w:tc>
        <w:tc>
          <w:tcPr>
            <w:tcW w:w="1176" w:type="dxa"/>
            <w:tcBorders>
              <w:top w:val="nil"/>
              <w:left w:val="nil"/>
              <w:bottom w:val="nil"/>
              <w:right w:val="nil"/>
            </w:tcBorders>
            <w:shd w:val="clear" w:color="auto" w:fill="auto"/>
            <w:noWrap/>
          </w:tcPr>
          <w:p w:rsidR="00EB5679" w:rsidRPr="00AA0477" w:rsidRDefault="00EB5679" w:rsidP="00214658">
            <w:pPr>
              <w:spacing w:after="0" w:line="240" w:lineRule="auto"/>
              <w:rPr>
                <w:rFonts w:eastAsia="Times New Roman" w:cs="Arial"/>
                <w:b/>
                <w:bCs/>
                <w:sz w:val="18"/>
                <w:szCs w:val="18"/>
                <w:lang w:val="en-AU"/>
              </w:rPr>
            </w:pPr>
          </w:p>
        </w:tc>
        <w:tc>
          <w:tcPr>
            <w:tcW w:w="2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c>
          <w:tcPr>
            <w:tcW w:w="19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Net cost of services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(4,794,563)</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(4,317,294)</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Add revenue from Government</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5,740,000 </w:t>
            </w:r>
          </w:p>
        </w:tc>
        <w:tc>
          <w:tcPr>
            <w:tcW w:w="21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5,739,000 </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r w:rsidRPr="00AA0477">
              <w:rPr>
                <w:rFonts w:eastAsia="Times New Roman" w:cs="Arial"/>
                <w:b/>
                <w:bCs/>
                <w:sz w:val="18"/>
                <w:szCs w:val="18"/>
                <w:lang w:val="en-AU"/>
              </w:rPr>
              <w:t>Adjustments for non-cash items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Depreciation / amortisation</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153,475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180,672 </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Net write down of non-financial assets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37,006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 -</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Loss on disposal of assets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2,898 </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Finance costs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880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1,960 </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r w:rsidRPr="00AA0477">
              <w:rPr>
                <w:rFonts w:eastAsia="Times New Roman" w:cs="Arial"/>
                <w:b/>
                <w:bCs/>
                <w:sz w:val="18"/>
                <w:szCs w:val="18"/>
                <w:lang w:val="en-AU"/>
              </w:rPr>
              <w:t>Changes in assets / liabilities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(Increase) / decrease in net receivables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(1,152,420)</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(789,362)</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(Increase) / decrease in prepayments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1,056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 xml:space="preserve">10,034 </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Increase / (decrease) in employee provisions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129,984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(174,202)</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Increase / (decrease) in supplier payables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(154,293)</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(416,279)</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Increase / (decrease) in other payables</w:t>
            </w: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r w:rsidRPr="00AA0477">
              <w:rPr>
                <w:rFonts w:eastAsia="Times New Roman" w:cs="Arial"/>
                <w:b/>
                <w:bCs/>
                <w:sz w:val="18"/>
                <w:szCs w:val="18"/>
                <w:lang w:val="en-AU"/>
              </w:rPr>
              <w:t xml:space="preserve">29,822 </w:t>
            </w:r>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r w:rsidRPr="00AA0477">
              <w:rPr>
                <w:rFonts w:eastAsia="Times New Roman" w:cs="Arial"/>
                <w:sz w:val="18"/>
                <w:szCs w:val="18"/>
                <w:lang w:val="en-AU"/>
              </w:rPr>
              <w:t>(29,635)</w:t>
            </w:r>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r w:rsidR="00EB5679" w:rsidRPr="00AA0477">
        <w:trPr>
          <w:trHeight w:val="240"/>
        </w:trPr>
        <w:tc>
          <w:tcPr>
            <w:tcW w:w="601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lang w:val="en-AU"/>
              </w:rPr>
            </w:pPr>
            <w:r w:rsidRPr="00AA0477">
              <w:rPr>
                <w:rFonts w:eastAsia="Times New Roman" w:cs="Arial"/>
                <w:b/>
                <w:bCs/>
                <w:sz w:val="18"/>
                <w:szCs w:val="18"/>
                <w:lang w:val="en-AU"/>
              </w:rPr>
              <w:t>Net cash from (used by) operating activities</w:t>
            </w:r>
          </w:p>
        </w:tc>
        <w:tc>
          <w:tcPr>
            <w:tcW w:w="1176" w:type="dxa"/>
            <w:tcBorders>
              <w:top w:val="single" w:sz="4" w:space="0" w:color="auto"/>
              <w:left w:val="nil"/>
              <w:bottom w:val="single" w:sz="4" w:space="0" w:color="auto"/>
              <w:right w:val="nil"/>
            </w:tcBorders>
            <w:shd w:val="clear" w:color="auto" w:fill="auto"/>
            <w:noWrap/>
            <w:vAlign w:val="bottom"/>
          </w:tcPr>
          <w:p w:rsidR="00EB5679" w:rsidRPr="00AA0477" w:rsidRDefault="00EB5679" w:rsidP="00214658">
            <w:pPr>
              <w:spacing w:after="0" w:line="240" w:lineRule="auto"/>
              <w:jc w:val="right"/>
              <w:rPr>
                <w:rFonts w:eastAsia="Times New Roman" w:cs="Arial"/>
                <w:b/>
                <w:bCs/>
                <w:sz w:val="18"/>
                <w:szCs w:val="18"/>
                <w:lang w:val="en-AU"/>
              </w:rPr>
            </w:pPr>
            <w:bookmarkStart w:id="356" w:name="RANGE!E33"/>
            <w:r w:rsidRPr="00AA0477">
              <w:rPr>
                <w:rFonts w:eastAsia="Times New Roman" w:cs="Arial"/>
                <w:b/>
                <w:bCs/>
                <w:sz w:val="18"/>
                <w:szCs w:val="18"/>
                <w:lang w:val="en-AU"/>
              </w:rPr>
              <w:t>(9,053)</w:t>
            </w:r>
            <w:bookmarkEnd w:id="356"/>
          </w:p>
        </w:tc>
        <w:tc>
          <w:tcPr>
            <w:tcW w:w="216" w:type="dxa"/>
            <w:tcBorders>
              <w:top w:val="nil"/>
              <w:left w:val="nil"/>
              <w:bottom w:val="nil"/>
              <w:right w:val="nil"/>
            </w:tcBorders>
            <w:shd w:val="clear" w:color="auto" w:fill="auto"/>
            <w:vAlign w:val="bottom"/>
          </w:tcPr>
          <w:p w:rsidR="00EB5679" w:rsidRPr="00AA0477" w:rsidRDefault="00EB5679" w:rsidP="00214658">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AA0477" w:rsidRDefault="00EB5679" w:rsidP="00214658">
            <w:pPr>
              <w:spacing w:after="0" w:line="240" w:lineRule="auto"/>
              <w:jc w:val="right"/>
              <w:rPr>
                <w:rFonts w:eastAsia="Times New Roman" w:cs="Arial"/>
                <w:sz w:val="18"/>
                <w:szCs w:val="18"/>
                <w:lang w:val="en-AU"/>
              </w:rPr>
            </w:pPr>
            <w:bookmarkStart w:id="357" w:name="RANGE!G33"/>
            <w:r w:rsidRPr="00AA0477">
              <w:rPr>
                <w:rFonts w:eastAsia="Times New Roman" w:cs="Arial"/>
                <w:sz w:val="18"/>
                <w:szCs w:val="18"/>
                <w:lang w:val="en-AU"/>
              </w:rPr>
              <w:t xml:space="preserve">207,792 </w:t>
            </w:r>
            <w:bookmarkEnd w:id="357"/>
          </w:p>
        </w:tc>
        <w:tc>
          <w:tcPr>
            <w:tcW w:w="1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18"/>
                <w:szCs w:val="18"/>
                <w:lang w:val="en-AU"/>
              </w:rPr>
            </w:pPr>
          </w:p>
        </w:tc>
      </w:tr>
    </w:tbl>
    <w:p w:rsidR="003C5D3F" w:rsidRPr="00AA0477" w:rsidRDefault="003C5D3F" w:rsidP="00FA6C41">
      <w:pPr>
        <w:widowControl w:val="0"/>
        <w:suppressAutoHyphens/>
        <w:autoSpaceDE w:val="0"/>
        <w:autoSpaceDN w:val="0"/>
        <w:adjustRightInd w:val="0"/>
        <w:spacing w:before="57" w:after="57" w:line="260" w:lineRule="atLeast"/>
        <w:textAlignment w:val="center"/>
        <w:rPr>
          <w:rFonts w:cs="Arial"/>
          <w:color w:val="28254D"/>
          <w:sz w:val="36"/>
          <w:szCs w:val="36"/>
          <w:lang w:val="en-GB"/>
        </w:rPr>
      </w:pPr>
    </w:p>
    <w:p w:rsidR="003C5D3F" w:rsidRDefault="003C5D3F"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r>
        <w:rPr>
          <w:rFonts w:ascii="SamoSansPro-Medium" w:hAnsi="SamoSansPro-Medium" w:cs="SamoSansPro-Medium"/>
          <w:color w:val="28254D"/>
          <w:sz w:val="36"/>
          <w:szCs w:val="36"/>
          <w:lang w:val="en-GB"/>
        </w:rPr>
        <w:br w:type="page"/>
      </w:r>
    </w:p>
    <w:tbl>
      <w:tblPr>
        <w:tblW w:w="8128" w:type="dxa"/>
        <w:tblInd w:w="108" w:type="dxa"/>
        <w:tblLook w:val="04A0"/>
      </w:tblPr>
      <w:tblGrid>
        <w:gridCol w:w="5856"/>
        <w:gridCol w:w="1096"/>
        <w:gridCol w:w="1176"/>
      </w:tblGrid>
      <w:tr w:rsidR="00EB5679" w:rsidRPr="003C5D3F">
        <w:trPr>
          <w:trHeight w:val="360"/>
        </w:trPr>
        <w:tc>
          <w:tcPr>
            <w:tcW w:w="5856" w:type="dxa"/>
            <w:tcBorders>
              <w:top w:val="nil"/>
              <w:left w:val="nil"/>
              <w:right w:val="nil"/>
            </w:tcBorders>
            <w:shd w:val="clear" w:color="auto" w:fill="auto"/>
            <w:noWrap/>
            <w:vAlign w:val="center"/>
          </w:tcPr>
          <w:p w:rsidR="00EB5679" w:rsidRPr="003C5D3F" w:rsidRDefault="00EB5679" w:rsidP="00AA0477">
            <w:pPr>
              <w:rPr>
                <w:lang w:val="en-AU"/>
              </w:rPr>
            </w:pPr>
            <w:r w:rsidRPr="003C5D3F">
              <w:rPr>
                <w:lang w:val="en-AU"/>
              </w:rPr>
              <w:t>Notes to and forming part of the financial statements</w:t>
            </w:r>
          </w:p>
        </w:tc>
        <w:tc>
          <w:tcPr>
            <w:tcW w:w="109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176" w:type="dxa"/>
            <w:tcBorders>
              <w:top w:val="nil"/>
              <w:left w:val="nil"/>
              <w:right w:val="nil"/>
            </w:tcBorders>
            <w:shd w:val="clear" w:color="auto" w:fill="auto"/>
            <w:noWrap/>
            <w:vAlign w:val="center"/>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r>
      <w:tr w:rsidR="00EB5679" w:rsidRPr="003C5D3F">
        <w:trPr>
          <w:trHeight w:val="300"/>
        </w:trPr>
        <w:tc>
          <w:tcPr>
            <w:tcW w:w="5856" w:type="dxa"/>
            <w:tcBorders>
              <w:top w:val="nil"/>
              <w:left w:val="nil"/>
              <w:bottom w:val="single" w:sz="4" w:space="0" w:color="auto"/>
              <w:right w:val="nil"/>
            </w:tcBorders>
            <w:shd w:val="clear" w:color="auto" w:fill="auto"/>
            <w:noWrap/>
          </w:tcPr>
          <w:p w:rsidR="00EB5679" w:rsidRPr="003C5D3F" w:rsidRDefault="00EB5679" w:rsidP="00AA0477">
            <w:pPr>
              <w:pStyle w:val="Financialsnotehead"/>
            </w:pPr>
            <w:r w:rsidRPr="003C5D3F">
              <w:t>Note 11: Contingent Assets and Liabilities</w:t>
            </w:r>
          </w:p>
        </w:tc>
        <w:tc>
          <w:tcPr>
            <w:tcW w:w="109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3C5D3F" w:rsidRDefault="00EB5679" w:rsidP="00214658">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r>
      <w:tr w:rsidR="00EB5679" w:rsidRPr="003C5D3F">
        <w:trPr>
          <w:trHeight w:val="240"/>
        </w:trPr>
        <w:tc>
          <w:tcPr>
            <w:tcW w:w="5856" w:type="dxa"/>
            <w:tcBorders>
              <w:top w:val="single" w:sz="4" w:space="0" w:color="auto"/>
              <w:left w:val="nil"/>
              <w:bottom w:val="nil"/>
              <w:right w:val="nil"/>
            </w:tcBorders>
            <w:shd w:val="clear" w:color="auto" w:fill="auto"/>
            <w:noWrap/>
            <w:vAlign w:val="bottom"/>
          </w:tcPr>
          <w:p w:rsidR="00EB5679" w:rsidRPr="003C5D3F" w:rsidRDefault="00EB5679" w:rsidP="00214658">
            <w:pPr>
              <w:spacing w:after="0" w:line="240" w:lineRule="auto"/>
              <w:rPr>
                <w:rFonts w:eastAsia="Times New Roman" w:cs="Arial"/>
                <w:sz w:val="20"/>
                <w:szCs w:val="20"/>
                <w:lang w:val="en-AU"/>
              </w:rPr>
            </w:pPr>
          </w:p>
        </w:tc>
        <w:tc>
          <w:tcPr>
            <w:tcW w:w="1096" w:type="dxa"/>
            <w:tcBorders>
              <w:top w:val="single" w:sz="4" w:space="0" w:color="auto"/>
              <w:left w:val="nil"/>
              <w:bottom w:val="nil"/>
              <w:right w:val="nil"/>
            </w:tcBorders>
            <w:shd w:val="clear" w:color="auto" w:fill="auto"/>
            <w:noWrap/>
            <w:vAlign w:val="bottom"/>
          </w:tcPr>
          <w:p w:rsidR="00EB5679" w:rsidRPr="003C5D3F" w:rsidRDefault="00EB5679" w:rsidP="00214658">
            <w:pPr>
              <w:spacing w:after="0" w:line="240" w:lineRule="auto"/>
              <w:rPr>
                <w:rFonts w:eastAsia="Times New Roman" w:cs="Arial"/>
                <w:sz w:val="20"/>
                <w:szCs w:val="20"/>
                <w:lang w:val="en-AU"/>
              </w:rPr>
            </w:pPr>
          </w:p>
        </w:tc>
        <w:tc>
          <w:tcPr>
            <w:tcW w:w="1176" w:type="dxa"/>
            <w:tcBorders>
              <w:top w:val="single" w:sz="4" w:space="0" w:color="auto"/>
              <w:left w:val="nil"/>
              <w:bottom w:val="nil"/>
              <w:right w:val="nil"/>
            </w:tcBorders>
            <w:shd w:val="clear" w:color="auto" w:fill="auto"/>
            <w:noWrap/>
            <w:vAlign w:val="bottom"/>
          </w:tcPr>
          <w:p w:rsidR="00EB5679" w:rsidRPr="003C5D3F" w:rsidRDefault="00EB5679" w:rsidP="00214658">
            <w:pPr>
              <w:spacing w:after="0" w:line="240" w:lineRule="auto"/>
              <w:rPr>
                <w:rFonts w:eastAsia="Times New Roman" w:cs="Arial"/>
                <w:sz w:val="20"/>
                <w:szCs w:val="20"/>
                <w:lang w:val="en-AU"/>
              </w:rPr>
            </w:pPr>
          </w:p>
        </w:tc>
      </w:tr>
      <w:tr w:rsidR="00EB5679" w:rsidRPr="003C5D3F">
        <w:trPr>
          <w:trHeight w:val="240"/>
        </w:trPr>
        <w:tc>
          <w:tcPr>
            <w:tcW w:w="585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u w:val="single"/>
                <w:lang w:val="en-AU"/>
              </w:rPr>
            </w:pPr>
            <w:r w:rsidRPr="00AA0477">
              <w:rPr>
                <w:rFonts w:eastAsia="Times New Roman" w:cs="Arial"/>
                <w:b/>
                <w:bCs/>
                <w:sz w:val="18"/>
                <w:szCs w:val="18"/>
                <w:u w:val="single"/>
                <w:lang w:val="en-AU"/>
              </w:rPr>
              <w:t>Quantifiable Contingencies</w:t>
            </w:r>
          </w:p>
        </w:tc>
        <w:tc>
          <w:tcPr>
            <w:tcW w:w="109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u w:val="single"/>
                <w:lang w:val="en-AU"/>
              </w:rPr>
            </w:pPr>
          </w:p>
        </w:tc>
        <w:tc>
          <w:tcPr>
            <w:tcW w:w="117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r>
      <w:tr w:rsidR="00EB5679" w:rsidRPr="003C5D3F">
        <w:trPr>
          <w:trHeight w:val="260"/>
        </w:trPr>
        <w:tc>
          <w:tcPr>
            <w:tcW w:w="8128" w:type="dxa"/>
            <w:gridSpan w:val="3"/>
            <w:tcBorders>
              <w:top w:val="nil"/>
              <w:left w:val="nil"/>
              <w:bottom w:val="nil"/>
              <w:right w:val="nil"/>
            </w:tcBorders>
            <w:shd w:val="clear" w:color="auto" w:fill="auto"/>
          </w:tcPr>
          <w:p w:rsidR="00EB5679" w:rsidRPr="00AA0477" w:rsidRDefault="00EB5679" w:rsidP="00214658">
            <w:pPr>
              <w:spacing w:after="240" w:line="240" w:lineRule="auto"/>
              <w:rPr>
                <w:rFonts w:eastAsia="Times New Roman" w:cs="Arial"/>
                <w:sz w:val="18"/>
                <w:szCs w:val="18"/>
                <w:lang w:val="en-AU"/>
              </w:rPr>
            </w:pPr>
            <w:r w:rsidRPr="00AA0477">
              <w:rPr>
                <w:rFonts w:eastAsia="Times New Roman" w:cs="Arial"/>
                <w:sz w:val="18"/>
                <w:szCs w:val="18"/>
                <w:lang w:val="en-AU"/>
              </w:rPr>
              <w:t>The Schedule of Contingencies reports no contingent l</w:t>
            </w:r>
            <w:r w:rsidR="00AA0477">
              <w:rPr>
                <w:rFonts w:eastAsia="Times New Roman" w:cs="Arial"/>
                <w:sz w:val="18"/>
                <w:szCs w:val="18"/>
                <w:lang w:val="en-AU"/>
              </w:rPr>
              <w:t>iabilities in 2014 (2013: nil).</w:t>
            </w:r>
          </w:p>
        </w:tc>
      </w:tr>
      <w:tr w:rsidR="00EB5679" w:rsidRPr="003C5D3F">
        <w:trPr>
          <w:trHeight w:val="240"/>
        </w:trPr>
        <w:tc>
          <w:tcPr>
            <w:tcW w:w="585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09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r>
      <w:tr w:rsidR="00EB5679" w:rsidRPr="003C5D3F">
        <w:trPr>
          <w:trHeight w:val="240"/>
        </w:trPr>
        <w:tc>
          <w:tcPr>
            <w:tcW w:w="585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u w:val="single"/>
                <w:lang w:val="en-AU"/>
              </w:rPr>
            </w:pPr>
            <w:r w:rsidRPr="00AA0477">
              <w:rPr>
                <w:rFonts w:eastAsia="Times New Roman" w:cs="Arial"/>
                <w:b/>
                <w:bCs/>
                <w:sz w:val="18"/>
                <w:szCs w:val="18"/>
                <w:u w:val="single"/>
                <w:lang w:val="en-AU"/>
              </w:rPr>
              <w:t>Unquantifiable Contingencies</w:t>
            </w:r>
          </w:p>
        </w:tc>
        <w:tc>
          <w:tcPr>
            <w:tcW w:w="109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u w:val="single"/>
                <w:lang w:val="en-AU"/>
              </w:rPr>
            </w:pPr>
          </w:p>
        </w:tc>
        <w:tc>
          <w:tcPr>
            <w:tcW w:w="117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r>
      <w:tr w:rsidR="00EB5679" w:rsidRPr="003C5D3F">
        <w:trPr>
          <w:trHeight w:val="240"/>
        </w:trPr>
        <w:tc>
          <w:tcPr>
            <w:tcW w:w="8128" w:type="dxa"/>
            <w:gridSpan w:val="3"/>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At 30 June 2014, PSR did not have any unquantifiable contingencies (2013: nil).</w:t>
            </w:r>
          </w:p>
        </w:tc>
      </w:tr>
      <w:tr w:rsidR="00EB5679" w:rsidRPr="003C5D3F">
        <w:trPr>
          <w:trHeight w:val="300"/>
        </w:trPr>
        <w:tc>
          <w:tcPr>
            <w:tcW w:w="585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09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r>
      <w:tr w:rsidR="00EB5679" w:rsidRPr="003C5D3F">
        <w:trPr>
          <w:trHeight w:val="240"/>
        </w:trPr>
        <w:tc>
          <w:tcPr>
            <w:tcW w:w="585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b/>
                <w:bCs/>
                <w:sz w:val="18"/>
                <w:szCs w:val="18"/>
                <w:u w:val="single"/>
                <w:lang w:val="en-AU"/>
              </w:rPr>
            </w:pPr>
            <w:r w:rsidRPr="00AA0477">
              <w:rPr>
                <w:rFonts w:eastAsia="Times New Roman" w:cs="Arial"/>
                <w:b/>
                <w:bCs/>
                <w:sz w:val="18"/>
                <w:szCs w:val="18"/>
                <w:u w:val="single"/>
                <w:lang w:val="en-AU"/>
              </w:rPr>
              <w:t>Significant Remote Contingencies</w:t>
            </w:r>
          </w:p>
        </w:tc>
        <w:tc>
          <w:tcPr>
            <w:tcW w:w="109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p>
        </w:tc>
      </w:tr>
      <w:tr w:rsidR="00EB5679" w:rsidRPr="003C5D3F">
        <w:trPr>
          <w:trHeight w:val="240"/>
        </w:trPr>
        <w:tc>
          <w:tcPr>
            <w:tcW w:w="8128" w:type="dxa"/>
            <w:gridSpan w:val="3"/>
            <w:tcBorders>
              <w:top w:val="nil"/>
              <w:left w:val="nil"/>
              <w:bottom w:val="nil"/>
              <w:right w:val="nil"/>
            </w:tcBorders>
            <w:shd w:val="clear" w:color="auto" w:fill="auto"/>
          </w:tcPr>
          <w:p w:rsidR="00EB5679" w:rsidRPr="00AA0477" w:rsidRDefault="00EB5679" w:rsidP="00214658">
            <w:pPr>
              <w:spacing w:after="0" w:line="240" w:lineRule="auto"/>
              <w:rPr>
                <w:rFonts w:eastAsia="Times New Roman" w:cs="Arial"/>
                <w:sz w:val="18"/>
                <w:szCs w:val="18"/>
                <w:lang w:val="en-AU"/>
              </w:rPr>
            </w:pPr>
            <w:r w:rsidRPr="00AA0477">
              <w:rPr>
                <w:rFonts w:eastAsia="Times New Roman" w:cs="Arial"/>
                <w:sz w:val="18"/>
                <w:szCs w:val="18"/>
                <w:lang w:val="en-AU"/>
              </w:rPr>
              <w:t>At 30 June 2014 PSR did not have any significant remote contingencies (2013: nil).</w:t>
            </w:r>
          </w:p>
        </w:tc>
      </w:tr>
      <w:tr w:rsidR="00EB5679" w:rsidRPr="003C5D3F">
        <w:trPr>
          <w:trHeight w:val="240"/>
        </w:trPr>
        <w:tc>
          <w:tcPr>
            <w:tcW w:w="585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20"/>
                <w:szCs w:val="20"/>
                <w:lang w:val="en-AU"/>
              </w:rPr>
            </w:pPr>
          </w:p>
        </w:tc>
        <w:tc>
          <w:tcPr>
            <w:tcW w:w="109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20"/>
                <w:szCs w:val="20"/>
                <w:lang w:val="en-AU"/>
              </w:rPr>
            </w:pPr>
          </w:p>
        </w:tc>
        <w:tc>
          <w:tcPr>
            <w:tcW w:w="1176" w:type="dxa"/>
            <w:tcBorders>
              <w:top w:val="nil"/>
              <w:left w:val="nil"/>
              <w:bottom w:val="nil"/>
              <w:right w:val="nil"/>
            </w:tcBorders>
            <w:shd w:val="clear" w:color="auto" w:fill="auto"/>
            <w:noWrap/>
            <w:vAlign w:val="bottom"/>
          </w:tcPr>
          <w:p w:rsidR="00EB5679" w:rsidRPr="00AA0477" w:rsidRDefault="00EB5679" w:rsidP="00214658">
            <w:pPr>
              <w:spacing w:after="0" w:line="240" w:lineRule="auto"/>
              <w:rPr>
                <w:rFonts w:eastAsia="Times New Roman" w:cs="Arial"/>
                <w:sz w:val="20"/>
                <w:szCs w:val="20"/>
                <w:lang w:val="en-AU"/>
              </w:rPr>
            </w:pPr>
          </w:p>
        </w:tc>
      </w:tr>
    </w:tbl>
    <w:p w:rsidR="00EB5679" w:rsidRDefault="00EB5679"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sectPr w:rsidR="00EB5679" w:rsidSect="001E2C73">
          <w:pgSz w:w="11906" w:h="16838"/>
          <w:pgMar w:top="567" w:right="720" w:bottom="567" w:left="720" w:footer="284" w:gutter="0"/>
          <w:noEndnote/>
        </w:sectPr>
      </w:pPr>
    </w:p>
    <w:p w:rsidR="003C5D3F" w:rsidRDefault="003C5D3F" w:rsidP="00FA6C41">
      <w:pPr>
        <w:widowControl w:val="0"/>
        <w:suppressAutoHyphens/>
        <w:autoSpaceDE w:val="0"/>
        <w:autoSpaceDN w:val="0"/>
        <w:adjustRightInd w:val="0"/>
        <w:spacing w:before="57" w:after="57" w:line="260" w:lineRule="atLeast"/>
        <w:textAlignment w:val="center"/>
        <w:rPr>
          <w:rFonts w:ascii="SamoSansPro-Medium" w:hAnsi="SamoSansPro-Medium" w:cs="SamoSansPro-Medium"/>
          <w:color w:val="28254D"/>
          <w:sz w:val="36"/>
          <w:szCs w:val="36"/>
          <w:lang w:val="en-GB"/>
        </w:rPr>
      </w:pPr>
    </w:p>
    <w:tbl>
      <w:tblPr>
        <w:tblW w:w="16619" w:type="dxa"/>
        <w:tblInd w:w="108" w:type="dxa"/>
        <w:tblLayout w:type="fixed"/>
        <w:tblLook w:val="04A0"/>
      </w:tblPr>
      <w:tblGrid>
        <w:gridCol w:w="3682"/>
        <w:gridCol w:w="1208"/>
        <w:gridCol w:w="365"/>
        <w:gridCol w:w="900"/>
        <w:gridCol w:w="72"/>
        <w:gridCol w:w="253"/>
        <w:gridCol w:w="885"/>
        <w:gridCol w:w="365"/>
        <w:gridCol w:w="198"/>
        <w:gridCol w:w="261"/>
        <w:gridCol w:w="513"/>
        <w:gridCol w:w="253"/>
        <w:gridCol w:w="619"/>
        <w:gridCol w:w="261"/>
        <w:gridCol w:w="568"/>
        <w:gridCol w:w="261"/>
        <w:gridCol w:w="418"/>
        <w:gridCol w:w="272"/>
        <w:gridCol w:w="695"/>
        <w:gridCol w:w="261"/>
        <w:gridCol w:w="211"/>
        <w:gridCol w:w="236"/>
        <w:gridCol w:w="800"/>
        <w:gridCol w:w="274"/>
        <w:gridCol w:w="311"/>
        <w:gridCol w:w="856"/>
        <w:gridCol w:w="236"/>
        <w:gridCol w:w="1385"/>
      </w:tblGrid>
      <w:tr w:rsidR="003C5D3F" w:rsidRPr="003C5D3F">
        <w:trPr>
          <w:trHeight w:val="360"/>
        </w:trPr>
        <w:tc>
          <w:tcPr>
            <w:tcW w:w="6155" w:type="dxa"/>
            <w:gridSpan w:val="4"/>
            <w:tcBorders>
              <w:top w:val="nil"/>
              <w:left w:val="nil"/>
              <w:right w:val="nil"/>
            </w:tcBorders>
            <w:shd w:val="clear" w:color="auto" w:fill="auto"/>
            <w:noWrap/>
            <w:vAlign w:val="center"/>
          </w:tcPr>
          <w:p w:rsidR="003C5D3F" w:rsidRPr="003C5D3F" w:rsidRDefault="003C5D3F" w:rsidP="00D07267">
            <w:pPr>
              <w:rPr>
                <w:lang w:val="en-AU"/>
              </w:rPr>
            </w:pPr>
            <w:bookmarkStart w:id="358" w:name="RANGE!D1:P58"/>
            <w:r w:rsidRPr="003C5D3F">
              <w:rPr>
                <w:lang w:val="en-AU"/>
              </w:rPr>
              <w:t>Notes to and forming part of the financial statements</w:t>
            </w:r>
            <w:bookmarkEnd w:id="358"/>
          </w:p>
        </w:tc>
        <w:tc>
          <w:tcPr>
            <w:tcW w:w="1210" w:type="dxa"/>
            <w:gridSpan w:val="3"/>
            <w:tcBorders>
              <w:top w:val="nil"/>
              <w:left w:val="nil"/>
              <w:right w:val="nil"/>
            </w:tcBorders>
            <w:shd w:val="clear" w:color="auto" w:fill="auto"/>
            <w:noWrap/>
            <w:vAlign w:val="center"/>
          </w:tcPr>
          <w:p w:rsidR="003C5D3F" w:rsidRPr="003C5D3F" w:rsidRDefault="003C5D3F" w:rsidP="003C5D3F">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365" w:type="dxa"/>
            <w:tcBorders>
              <w:top w:val="nil"/>
              <w:left w:val="nil"/>
              <w:right w:val="nil"/>
            </w:tcBorders>
            <w:shd w:val="clear" w:color="auto" w:fill="auto"/>
            <w:noWrap/>
            <w:vAlign w:val="center"/>
          </w:tcPr>
          <w:p w:rsidR="003C5D3F" w:rsidRPr="003C5D3F" w:rsidRDefault="003C5D3F" w:rsidP="003C5D3F">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972" w:type="dxa"/>
            <w:gridSpan w:val="3"/>
            <w:tcBorders>
              <w:top w:val="nil"/>
              <w:left w:val="nil"/>
              <w:right w:val="nil"/>
            </w:tcBorders>
            <w:shd w:val="clear" w:color="auto" w:fill="auto"/>
            <w:noWrap/>
            <w:vAlign w:val="center"/>
          </w:tcPr>
          <w:p w:rsidR="003C5D3F" w:rsidRPr="003C5D3F" w:rsidRDefault="003C5D3F" w:rsidP="003C5D3F">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253" w:type="dxa"/>
            <w:tcBorders>
              <w:top w:val="nil"/>
              <w:left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448" w:type="dxa"/>
            <w:gridSpan w:val="3"/>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61"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385" w:type="dxa"/>
            <w:gridSpan w:val="3"/>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61"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247" w:type="dxa"/>
            <w:gridSpan w:val="3"/>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74"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167" w:type="dxa"/>
            <w:gridSpan w:val="2"/>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36"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385"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r>
      <w:tr w:rsidR="003C5D3F" w:rsidRPr="003C5D3F">
        <w:trPr>
          <w:trHeight w:val="300"/>
        </w:trPr>
        <w:tc>
          <w:tcPr>
            <w:tcW w:w="6155" w:type="dxa"/>
            <w:gridSpan w:val="4"/>
            <w:tcBorders>
              <w:top w:val="nil"/>
              <w:left w:val="nil"/>
              <w:bottom w:val="single" w:sz="4" w:space="0" w:color="auto"/>
              <w:right w:val="nil"/>
            </w:tcBorders>
            <w:shd w:val="clear" w:color="auto" w:fill="auto"/>
            <w:noWrap/>
          </w:tcPr>
          <w:p w:rsidR="003C5D3F" w:rsidRPr="003C5D3F" w:rsidRDefault="003C5D3F" w:rsidP="00D07267">
            <w:pPr>
              <w:pStyle w:val="Financialsnotehead"/>
            </w:pPr>
            <w:r w:rsidRPr="003C5D3F">
              <w:t>Note 12: Senior Executive Remuneration</w:t>
            </w:r>
          </w:p>
        </w:tc>
        <w:tc>
          <w:tcPr>
            <w:tcW w:w="1210" w:type="dxa"/>
            <w:gridSpan w:val="3"/>
            <w:tcBorders>
              <w:top w:val="nil"/>
              <w:left w:val="nil"/>
              <w:bottom w:val="single" w:sz="4" w:space="0" w:color="auto"/>
              <w:right w:val="nil"/>
            </w:tcBorders>
            <w:shd w:val="clear" w:color="auto" w:fill="auto"/>
            <w:noWrap/>
          </w:tcPr>
          <w:p w:rsidR="003C5D3F" w:rsidRPr="003C5D3F" w:rsidRDefault="003C5D3F" w:rsidP="003C5D3F">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365" w:type="dxa"/>
            <w:tcBorders>
              <w:top w:val="nil"/>
              <w:left w:val="nil"/>
              <w:bottom w:val="single" w:sz="4" w:space="0" w:color="auto"/>
              <w:right w:val="nil"/>
            </w:tcBorders>
            <w:shd w:val="clear" w:color="auto" w:fill="auto"/>
            <w:noWrap/>
          </w:tcPr>
          <w:p w:rsidR="003C5D3F" w:rsidRPr="003C5D3F" w:rsidRDefault="003C5D3F" w:rsidP="003C5D3F">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972" w:type="dxa"/>
            <w:gridSpan w:val="3"/>
            <w:tcBorders>
              <w:top w:val="nil"/>
              <w:left w:val="nil"/>
              <w:bottom w:val="single" w:sz="4" w:space="0" w:color="auto"/>
              <w:right w:val="nil"/>
            </w:tcBorders>
            <w:shd w:val="clear" w:color="auto" w:fill="auto"/>
            <w:noWrap/>
          </w:tcPr>
          <w:p w:rsidR="003C5D3F" w:rsidRPr="003C5D3F" w:rsidRDefault="003C5D3F" w:rsidP="003C5D3F">
            <w:pPr>
              <w:spacing w:after="0" w:line="240" w:lineRule="auto"/>
              <w:rPr>
                <w:rFonts w:ascii="Times New Roman" w:eastAsia="Times New Roman" w:hAnsi="Times New Roman" w:cs="Times New Roman"/>
                <w:b/>
                <w:bCs/>
                <w:color w:val="FFFFFF"/>
                <w:szCs w:val="22"/>
                <w:lang w:val="en-AU"/>
              </w:rPr>
            </w:pPr>
            <w:r w:rsidRPr="003C5D3F">
              <w:rPr>
                <w:rFonts w:ascii="Times New Roman" w:eastAsia="Times New Roman" w:hAnsi="Times New Roman" w:cs="Times New Roman"/>
                <w:b/>
                <w:bCs/>
                <w:color w:val="FFFFFF"/>
                <w:szCs w:val="22"/>
                <w:lang w:val="en-AU"/>
              </w:rPr>
              <w:t> </w:t>
            </w:r>
          </w:p>
        </w:tc>
        <w:tc>
          <w:tcPr>
            <w:tcW w:w="253" w:type="dxa"/>
            <w:tcBorders>
              <w:top w:val="nil"/>
              <w:left w:val="nil"/>
              <w:bottom w:val="single" w:sz="4" w:space="0" w:color="auto"/>
              <w:right w:val="nil"/>
            </w:tcBorders>
            <w:shd w:val="clear" w:color="auto" w:fill="auto"/>
            <w:vAlign w:val="bottom"/>
          </w:tcPr>
          <w:p w:rsidR="003C5D3F" w:rsidRPr="003C5D3F" w:rsidRDefault="003C5D3F" w:rsidP="003C5D3F">
            <w:pPr>
              <w:spacing w:after="0" w:line="240" w:lineRule="auto"/>
              <w:rPr>
                <w:rFonts w:ascii="Times New Roman" w:eastAsia="Times New Roman" w:hAnsi="Times New Roman" w:cs="Times New Roman"/>
                <w:b/>
                <w:bCs/>
                <w:sz w:val="18"/>
                <w:szCs w:val="18"/>
                <w:lang w:val="en-AU"/>
              </w:rPr>
            </w:pPr>
          </w:p>
        </w:tc>
        <w:tc>
          <w:tcPr>
            <w:tcW w:w="1448" w:type="dxa"/>
            <w:gridSpan w:val="3"/>
            <w:tcBorders>
              <w:top w:val="nil"/>
              <w:left w:val="nil"/>
              <w:bottom w:val="nil"/>
              <w:right w:val="nil"/>
            </w:tcBorders>
            <w:shd w:val="clear" w:color="auto" w:fill="auto"/>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61"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385" w:type="dxa"/>
            <w:gridSpan w:val="3"/>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61"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247" w:type="dxa"/>
            <w:gridSpan w:val="3"/>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74"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167" w:type="dxa"/>
            <w:gridSpan w:val="2"/>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36"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385"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r>
      <w:tr w:rsidR="003C5D3F" w:rsidRPr="003C5D3F">
        <w:trPr>
          <w:trHeight w:val="240"/>
        </w:trPr>
        <w:tc>
          <w:tcPr>
            <w:tcW w:w="6155" w:type="dxa"/>
            <w:gridSpan w:val="4"/>
            <w:tcBorders>
              <w:top w:val="single" w:sz="4" w:space="0" w:color="auto"/>
              <w:left w:val="nil"/>
              <w:bottom w:val="nil"/>
              <w:right w:val="nil"/>
            </w:tcBorders>
            <w:shd w:val="clear" w:color="auto" w:fill="auto"/>
            <w:vAlign w:val="bottom"/>
          </w:tcPr>
          <w:p w:rsidR="003C5D3F" w:rsidRPr="003C5D3F" w:rsidRDefault="003C5D3F" w:rsidP="003C5D3F">
            <w:pPr>
              <w:spacing w:after="0" w:line="240" w:lineRule="auto"/>
              <w:rPr>
                <w:rFonts w:ascii="Times New Roman" w:eastAsia="Times New Roman" w:hAnsi="Times New Roman" w:cs="Times New Roman"/>
                <w:b/>
                <w:bCs/>
                <w:sz w:val="18"/>
                <w:szCs w:val="18"/>
                <w:lang w:val="en-AU"/>
              </w:rPr>
            </w:pPr>
          </w:p>
        </w:tc>
        <w:tc>
          <w:tcPr>
            <w:tcW w:w="1210" w:type="dxa"/>
            <w:gridSpan w:val="3"/>
            <w:tcBorders>
              <w:top w:val="single" w:sz="4" w:space="0" w:color="auto"/>
              <w:left w:val="nil"/>
              <w:bottom w:val="nil"/>
              <w:right w:val="nil"/>
            </w:tcBorders>
            <w:shd w:val="clear" w:color="auto" w:fill="auto"/>
            <w:vAlign w:val="bottom"/>
          </w:tcPr>
          <w:p w:rsidR="003C5D3F" w:rsidRPr="003C5D3F" w:rsidRDefault="003C5D3F" w:rsidP="003C5D3F">
            <w:pPr>
              <w:spacing w:after="0" w:line="240" w:lineRule="auto"/>
              <w:rPr>
                <w:rFonts w:ascii="Times New Roman" w:eastAsia="Times New Roman" w:hAnsi="Times New Roman" w:cs="Times New Roman"/>
                <w:b/>
                <w:bCs/>
                <w:sz w:val="18"/>
                <w:szCs w:val="18"/>
                <w:lang w:val="en-AU"/>
              </w:rPr>
            </w:pPr>
          </w:p>
        </w:tc>
        <w:tc>
          <w:tcPr>
            <w:tcW w:w="365" w:type="dxa"/>
            <w:tcBorders>
              <w:top w:val="single" w:sz="4" w:space="0" w:color="auto"/>
              <w:left w:val="nil"/>
              <w:bottom w:val="nil"/>
              <w:right w:val="nil"/>
            </w:tcBorders>
            <w:shd w:val="clear" w:color="auto" w:fill="auto"/>
            <w:vAlign w:val="bottom"/>
          </w:tcPr>
          <w:p w:rsidR="003C5D3F" w:rsidRPr="003C5D3F" w:rsidRDefault="003C5D3F" w:rsidP="003C5D3F">
            <w:pPr>
              <w:spacing w:after="0" w:line="240" w:lineRule="auto"/>
              <w:rPr>
                <w:rFonts w:ascii="Times New Roman" w:eastAsia="Times New Roman" w:hAnsi="Times New Roman" w:cs="Times New Roman"/>
                <w:b/>
                <w:bCs/>
                <w:sz w:val="18"/>
                <w:szCs w:val="18"/>
                <w:lang w:val="en-AU"/>
              </w:rPr>
            </w:pPr>
          </w:p>
        </w:tc>
        <w:tc>
          <w:tcPr>
            <w:tcW w:w="972" w:type="dxa"/>
            <w:gridSpan w:val="3"/>
            <w:tcBorders>
              <w:top w:val="single" w:sz="4" w:space="0" w:color="auto"/>
              <w:left w:val="nil"/>
              <w:bottom w:val="nil"/>
              <w:right w:val="nil"/>
            </w:tcBorders>
            <w:shd w:val="clear" w:color="auto" w:fill="auto"/>
            <w:vAlign w:val="bottom"/>
          </w:tcPr>
          <w:p w:rsidR="003C5D3F" w:rsidRPr="003C5D3F" w:rsidRDefault="003C5D3F" w:rsidP="003C5D3F">
            <w:pPr>
              <w:spacing w:after="0" w:line="240" w:lineRule="auto"/>
              <w:rPr>
                <w:rFonts w:ascii="Times New Roman" w:eastAsia="Times New Roman" w:hAnsi="Times New Roman" w:cs="Times New Roman"/>
                <w:b/>
                <w:bCs/>
                <w:sz w:val="18"/>
                <w:szCs w:val="18"/>
                <w:lang w:val="en-AU"/>
              </w:rPr>
            </w:pPr>
          </w:p>
        </w:tc>
        <w:tc>
          <w:tcPr>
            <w:tcW w:w="253" w:type="dxa"/>
            <w:tcBorders>
              <w:top w:val="single" w:sz="4" w:space="0" w:color="auto"/>
              <w:left w:val="nil"/>
              <w:bottom w:val="nil"/>
              <w:right w:val="nil"/>
            </w:tcBorders>
            <w:shd w:val="clear" w:color="auto" w:fill="auto"/>
            <w:vAlign w:val="bottom"/>
          </w:tcPr>
          <w:p w:rsidR="003C5D3F" w:rsidRPr="003C5D3F" w:rsidRDefault="003C5D3F" w:rsidP="003C5D3F">
            <w:pPr>
              <w:spacing w:after="0" w:line="240" w:lineRule="auto"/>
              <w:rPr>
                <w:rFonts w:ascii="Times New Roman" w:eastAsia="Times New Roman" w:hAnsi="Times New Roman" w:cs="Times New Roman"/>
                <w:b/>
                <w:bCs/>
                <w:sz w:val="18"/>
                <w:szCs w:val="18"/>
                <w:lang w:val="en-AU"/>
              </w:rPr>
            </w:pPr>
          </w:p>
        </w:tc>
        <w:tc>
          <w:tcPr>
            <w:tcW w:w="1448" w:type="dxa"/>
            <w:gridSpan w:val="3"/>
            <w:tcBorders>
              <w:top w:val="nil"/>
              <w:left w:val="nil"/>
              <w:bottom w:val="nil"/>
              <w:right w:val="nil"/>
            </w:tcBorders>
            <w:shd w:val="clear" w:color="auto" w:fill="auto"/>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61"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385" w:type="dxa"/>
            <w:gridSpan w:val="3"/>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61"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247" w:type="dxa"/>
            <w:gridSpan w:val="3"/>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74"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167" w:type="dxa"/>
            <w:gridSpan w:val="2"/>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236"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c>
          <w:tcPr>
            <w:tcW w:w="1385" w:type="dxa"/>
            <w:tcBorders>
              <w:top w:val="nil"/>
              <w:left w:val="nil"/>
              <w:bottom w:val="nil"/>
              <w:right w:val="nil"/>
            </w:tcBorders>
            <w:shd w:val="clear" w:color="auto" w:fill="auto"/>
            <w:noWrap/>
            <w:vAlign w:val="bottom"/>
          </w:tcPr>
          <w:p w:rsidR="003C5D3F" w:rsidRPr="003C5D3F" w:rsidRDefault="003C5D3F" w:rsidP="003C5D3F">
            <w:pPr>
              <w:spacing w:after="0" w:line="240" w:lineRule="auto"/>
              <w:rPr>
                <w:rFonts w:ascii="Times New Roman" w:eastAsia="Times New Roman" w:hAnsi="Times New Roman" w:cs="Times New Roman"/>
                <w:sz w:val="18"/>
                <w:szCs w:val="18"/>
                <w:lang w:val="en-AU"/>
              </w:rPr>
            </w:pPr>
          </w:p>
        </w:tc>
      </w:tr>
      <w:tr w:rsidR="003C5D3F" w:rsidRPr="00D07267">
        <w:trPr>
          <w:trHeight w:val="240"/>
        </w:trPr>
        <w:tc>
          <w:tcPr>
            <w:tcW w:w="8702" w:type="dxa"/>
            <w:gridSpan w:val="11"/>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u w:val="single"/>
                <w:lang w:val="en-AU"/>
              </w:rPr>
            </w:pPr>
            <w:r w:rsidRPr="00D07267">
              <w:rPr>
                <w:rFonts w:eastAsia="Times New Roman" w:cs="Arial"/>
                <w:b/>
                <w:bCs/>
                <w:sz w:val="18"/>
                <w:szCs w:val="18"/>
                <w:u w:val="single"/>
                <w:lang w:val="en-AU"/>
              </w:rPr>
              <w:t>Note 12A: Senior Executive Remuneration Expenses for the Reporting Period</w:t>
            </w: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rPr>
                <w:rFonts w:eastAsia="Times New Roman" w:cs="Arial"/>
                <w:b/>
                <w:bCs/>
                <w:sz w:val="18"/>
                <w:szCs w:val="18"/>
                <w:lang w:val="en-AU"/>
              </w:rPr>
            </w:pPr>
          </w:p>
        </w:tc>
        <w:tc>
          <w:tcPr>
            <w:tcW w:w="1448" w:type="dxa"/>
            <w:gridSpan w:val="3"/>
            <w:tcBorders>
              <w:top w:val="nil"/>
              <w:left w:val="nil"/>
              <w:bottom w:val="nil"/>
              <w:right w:val="nil"/>
            </w:tcBorders>
            <w:shd w:val="clear" w:color="auto" w:fill="auto"/>
            <w:vAlign w:val="bottom"/>
          </w:tcPr>
          <w:p w:rsidR="003C5D3F" w:rsidRPr="00D07267" w:rsidRDefault="003C5D3F" w:rsidP="003C5D3F">
            <w:pPr>
              <w:spacing w:after="0" w:line="240" w:lineRule="auto"/>
              <w:rPr>
                <w:rFonts w:eastAsia="Times New Roman" w:cs="Arial"/>
                <w:sz w:val="18"/>
                <w:szCs w:val="18"/>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right w:val="nil"/>
            </w:tcBorders>
            <w:shd w:val="clear" w:color="auto" w:fill="auto"/>
          </w:tcPr>
          <w:p w:rsidR="003C5D3F" w:rsidRPr="00D07267" w:rsidRDefault="003C5D3F" w:rsidP="003C5D3F">
            <w:pPr>
              <w:spacing w:after="0" w:line="240" w:lineRule="auto"/>
              <w:rPr>
                <w:rFonts w:eastAsia="Times New Roman" w:cs="Arial"/>
                <w:b/>
                <w:bCs/>
                <w:sz w:val="18"/>
                <w:szCs w:val="18"/>
                <w:u w:val="single"/>
                <w:lang w:val="en-AU"/>
              </w:rPr>
            </w:pPr>
          </w:p>
        </w:tc>
        <w:tc>
          <w:tcPr>
            <w:tcW w:w="1210" w:type="dxa"/>
            <w:gridSpan w:val="3"/>
            <w:tcBorders>
              <w:top w:val="nil"/>
              <w:left w:val="nil"/>
              <w:right w:val="nil"/>
            </w:tcBorders>
            <w:shd w:val="clear" w:color="auto" w:fill="auto"/>
          </w:tcPr>
          <w:p w:rsidR="003C5D3F" w:rsidRPr="00D07267" w:rsidRDefault="003C5D3F" w:rsidP="003C5D3F">
            <w:pPr>
              <w:spacing w:after="0" w:line="240" w:lineRule="auto"/>
              <w:rPr>
                <w:rFonts w:eastAsia="Times New Roman" w:cs="Arial"/>
                <w:b/>
                <w:bCs/>
                <w:sz w:val="18"/>
                <w:szCs w:val="18"/>
                <w:u w:val="single"/>
                <w:lang w:val="en-AU"/>
              </w:rPr>
            </w:pPr>
          </w:p>
        </w:tc>
        <w:tc>
          <w:tcPr>
            <w:tcW w:w="365" w:type="dxa"/>
            <w:tcBorders>
              <w:top w:val="nil"/>
              <w:left w:val="nil"/>
              <w:right w:val="nil"/>
            </w:tcBorders>
            <w:shd w:val="clear" w:color="auto" w:fill="auto"/>
          </w:tcPr>
          <w:p w:rsidR="003C5D3F" w:rsidRPr="00D07267" w:rsidRDefault="003C5D3F" w:rsidP="003C5D3F">
            <w:pPr>
              <w:spacing w:after="0" w:line="240" w:lineRule="auto"/>
              <w:rPr>
                <w:rFonts w:eastAsia="Times New Roman" w:cs="Arial"/>
                <w:b/>
                <w:bCs/>
                <w:sz w:val="18"/>
                <w:szCs w:val="18"/>
                <w:u w:val="single"/>
                <w:lang w:val="en-AU"/>
              </w:rPr>
            </w:pPr>
          </w:p>
        </w:tc>
        <w:tc>
          <w:tcPr>
            <w:tcW w:w="972" w:type="dxa"/>
            <w:gridSpan w:val="3"/>
            <w:tcBorders>
              <w:top w:val="nil"/>
              <w:left w:val="nil"/>
              <w:right w:val="nil"/>
            </w:tcBorders>
            <w:shd w:val="clear" w:color="auto" w:fill="auto"/>
          </w:tcPr>
          <w:p w:rsidR="003C5D3F" w:rsidRPr="00D07267" w:rsidRDefault="003C5D3F" w:rsidP="003C5D3F">
            <w:pPr>
              <w:spacing w:after="0" w:line="240" w:lineRule="auto"/>
              <w:rPr>
                <w:rFonts w:eastAsia="Times New Roman" w:cs="Arial"/>
                <w:b/>
                <w:bCs/>
                <w:sz w:val="18"/>
                <w:szCs w:val="18"/>
                <w:u w:val="single"/>
                <w:lang w:val="en-AU"/>
              </w:rPr>
            </w:pPr>
          </w:p>
        </w:tc>
        <w:tc>
          <w:tcPr>
            <w:tcW w:w="253" w:type="dxa"/>
            <w:tcBorders>
              <w:top w:val="nil"/>
              <w:left w:val="nil"/>
              <w:right w:val="nil"/>
            </w:tcBorders>
            <w:shd w:val="clear" w:color="auto" w:fill="auto"/>
            <w:vAlign w:val="bottom"/>
          </w:tcPr>
          <w:p w:rsidR="003C5D3F" w:rsidRPr="00D07267" w:rsidRDefault="003C5D3F" w:rsidP="003C5D3F">
            <w:pPr>
              <w:spacing w:after="0" w:line="240" w:lineRule="auto"/>
              <w:rPr>
                <w:rFonts w:eastAsia="Times New Roman" w:cs="Arial"/>
                <w:b/>
                <w:bCs/>
                <w:sz w:val="18"/>
                <w:szCs w:val="18"/>
                <w:lang w:val="en-AU"/>
              </w:rPr>
            </w:pPr>
          </w:p>
        </w:tc>
        <w:tc>
          <w:tcPr>
            <w:tcW w:w="1448" w:type="dxa"/>
            <w:gridSpan w:val="3"/>
            <w:tcBorders>
              <w:top w:val="nil"/>
              <w:left w:val="nil"/>
              <w:bottom w:val="nil"/>
              <w:right w:val="nil"/>
            </w:tcBorders>
            <w:shd w:val="clear" w:color="auto" w:fill="auto"/>
            <w:vAlign w:val="bottom"/>
          </w:tcPr>
          <w:p w:rsidR="003C5D3F" w:rsidRPr="00D07267" w:rsidRDefault="003C5D3F" w:rsidP="003C5D3F">
            <w:pPr>
              <w:spacing w:after="0" w:line="240" w:lineRule="auto"/>
              <w:rPr>
                <w:rFonts w:eastAsia="Times New Roman" w:cs="Arial"/>
                <w:sz w:val="18"/>
                <w:szCs w:val="18"/>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1210" w:type="dxa"/>
            <w:gridSpan w:val="3"/>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 2014 </w:t>
            </w:r>
          </w:p>
        </w:tc>
        <w:tc>
          <w:tcPr>
            <w:tcW w:w="365"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b/>
                <w:bCs/>
                <w:sz w:val="18"/>
                <w:szCs w:val="18"/>
                <w:lang w:val="en-AU"/>
              </w:rPr>
            </w:pPr>
          </w:p>
        </w:tc>
        <w:tc>
          <w:tcPr>
            <w:tcW w:w="972" w:type="dxa"/>
            <w:gridSpan w:val="3"/>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 2013 </w:t>
            </w: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18"/>
                <w:szCs w:val="18"/>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single" w:sz="4" w:space="0" w:color="auto"/>
              <w:right w:val="nil"/>
            </w:tcBorders>
            <w:shd w:val="clear" w:color="auto" w:fill="auto"/>
          </w:tcPr>
          <w:p w:rsidR="003C5D3F" w:rsidRPr="00D07267" w:rsidRDefault="003C5D3F" w:rsidP="009F7D0F">
            <w:pPr>
              <w:spacing w:after="0" w:line="240" w:lineRule="auto"/>
              <w:ind w:firstLineChars="200" w:firstLine="280"/>
              <w:rPr>
                <w:rFonts w:eastAsia="Times New Roman" w:cs="Arial"/>
                <w:sz w:val="18"/>
                <w:szCs w:val="18"/>
                <w:lang w:val="en-AU"/>
              </w:rPr>
            </w:pPr>
          </w:p>
        </w:tc>
        <w:tc>
          <w:tcPr>
            <w:tcW w:w="1210" w:type="dxa"/>
            <w:gridSpan w:val="3"/>
            <w:tcBorders>
              <w:top w:val="nil"/>
              <w:left w:val="nil"/>
              <w:bottom w:val="single" w:sz="4" w:space="0" w:color="auto"/>
              <w:right w:val="nil"/>
            </w:tcBorders>
            <w:shd w:val="clear" w:color="auto" w:fill="auto"/>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w:t>
            </w:r>
          </w:p>
        </w:tc>
        <w:tc>
          <w:tcPr>
            <w:tcW w:w="365" w:type="dxa"/>
            <w:tcBorders>
              <w:top w:val="nil"/>
              <w:left w:val="nil"/>
              <w:bottom w:val="single" w:sz="4" w:space="0" w:color="auto"/>
              <w:right w:val="nil"/>
            </w:tcBorders>
            <w:shd w:val="clear" w:color="auto" w:fill="auto"/>
          </w:tcPr>
          <w:p w:rsidR="003C5D3F" w:rsidRPr="00D07267" w:rsidRDefault="003C5D3F" w:rsidP="003C5D3F">
            <w:pPr>
              <w:spacing w:after="0" w:line="240" w:lineRule="auto"/>
              <w:jc w:val="right"/>
              <w:rPr>
                <w:rFonts w:eastAsia="Times New Roman" w:cs="Arial"/>
                <w:b/>
                <w:bCs/>
                <w:sz w:val="18"/>
                <w:szCs w:val="18"/>
                <w:lang w:val="en-AU"/>
              </w:rPr>
            </w:pPr>
          </w:p>
        </w:tc>
        <w:tc>
          <w:tcPr>
            <w:tcW w:w="972" w:type="dxa"/>
            <w:gridSpan w:val="3"/>
            <w:tcBorders>
              <w:top w:val="nil"/>
              <w:left w:val="nil"/>
              <w:bottom w:val="single" w:sz="4" w:space="0" w:color="auto"/>
              <w:right w:val="nil"/>
            </w:tcBorders>
            <w:shd w:val="clear" w:color="auto" w:fill="auto"/>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w:t>
            </w:r>
          </w:p>
        </w:tc>
        <w:tc>
          <w:tcPr>
            <w:tcW w:w="253" w:type="dxa"/>
            <w:tcBorders>
              <w:top w:val="nil"/>
              <w:left w:val="nil"/>
              <w:bottom w:val="single" w:sz="4" w:space="0" w:color="auto"/>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single" w:sz="4" w:space="0" w:color="auto"/>
              <w:left w:val="nil"/>
              <w:bottom w:val="nil"/>
              <w:right w:val="nil"/>
            </w:tcBorders>
            <w:shd w:val="clear" w:color="auto" w:fill="auto"/>
          </w:tcPr>
          <w:p w:rsidR="005509F4" w:rsidRDefault="005509F4" w:rsidP="003C5D3F">
            <w:pPr>
              <w:spacing w:after="0" w:line="240" w:lineRule="auto"/>
              <w:rPr>
                <w:rFonts w:eastAsia="Times New Roman" w:cs="Arial"/>
                <w:b/>
                <w:bCs/>
                <w:sz w:val="18"/>
                <w:szCs w:val="18"/>
                <w:lang w:val="en-AU"/>
              </w:rPr>
            </w:pPr>
          </w:p>
          <w:p w:rsidR="003C5D3F" w:rsidRPr="00D07267" w:rsidRDefault="003C5D3F" w:rsidP="003C5D3F">
            <w:pPr>
              <w:spacing w:after="0" w:line="240" w:lineRule="auto"/>
              <w:rPr>
                <w:rFonts w:eastAsia="Times New Roman" w:cs="Arial"/>
                <w:b/>
                <w:bCs/>
                <w:sz w:val="18"/>
                <w:szCs w:val="18"/>
                <w:lang w:val="en-AU"/>
              </w:rPr>
            </w:pPr>
            <w:r w:rsidRPr="00D07267">
              <w:rPr>
                <w:rFonts w:eastAsia="Times New Roman" w:cs="Arial"/>
                <w:b/>
                <w:bCs/>
                <w:sz w:val="18"/>
                <w:szCs w:val="18"/>
                <w:lang w:val="en-AU"/>
              </w:rPr>
              <w:t>Short-term employee benefits:</w:t>
            </w:r>
          </w:p>
        </w:tc>
        <w:tc>
          <w:tcPr>
            <w:tcW w:w="1210" w:type="dxa"/>
            <w:gridSpan w:val="3"/>
            <w:tcBorders>
              <w:top w:val="single" w:sz="4" w:space="0" w:color="auto"/>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p>
        </w:tc>
        <w:tc>
          <w:tcPr>
            <w:tcW w:w="365" w:type="dxa"/>
            <w:tcBorders>
              <w:top w:val="single" w:sz="4" w:space="0" w:color="auto"/>
              <w:left w:val="nil"/>
              <w:bottom w:val="nil"/>
              <w:right w:val="nil"/>
            </w:tcBorders>
            <w:shd w:val="clear" w:color="auto" w:fill="auto"/>
          </w:tcPr>
          <w:p w:rsidR="003C5D3F" w:rsidRPr="00D07267" w:rsidRDefault="003C5D3F" w:rsidP="009F7D0F">
            <w:pPr>
              <w:spacing w:after="0" w:line="240" w:lineRule="auto"/>
              <w:ind w:firstLineChars="200" w:firstLine="311"/>
              <w:rPr>
                <w:rFonts w:eastAsia="Times New Roman" w:cs="Arial"/>
                <w:b/>
                <w:bCs/>
                <w:sz w:val="20"/>
                <w:szCs w:val="20"/>
                <w:lang w:val="en-AU"/>
              </w:rPr>
            </w:pPr>
          </w:p>
        </w:tc>
        <w:tc>
          <w:tcPr>
            <w:tcW w:w="972" w:type="dxa"/>
            <w:gridSpan w:val="3"/>
            <w:tcBorders>
              <w:top w:val="single" w:sz="4" w:space="0" w:color="auto"/>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p>
        </w:tc>
        <w:tc>
          <w:tcPr>
            <w:tcW w:w="253" w:type="dxa"/>
            <w:tcBorders>
              <w:top w:val="single" w:sz="4" w:space="0" w:color="auto"/>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Salary</w:t>
            </w: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466,753 </w:t>
            </w: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404,923 </w:t>
            </w:r>
          </w:p>
        </w:tc>
        <w:tc>
          <w:tcPr>
            <w:tcW w:w="253"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Performance bonuses</w:t>
            </w: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20,859 </w:t>
            </w: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23,614 </w:t>
            </w:r>
          </w:p>
        </w:tc>
        <w:tc>
          <w:tcPr>
            <w:tcW w:w="253"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Other</w:t>
            </w: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84,152 </w:t>
            </w: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93,455 </w:t>
            </w:r>
          </w:p>
        </w:tc>
        <w:tc>
          <w:tcPr>
            <w:tcW w:w="253"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r w:rsidRPr="00D07267">
              <w:rPr>
                <w:rFonts w:eastAsia="Times New Roman" w:cs="Arial"/>
                <w:b/>
                <w:bCs/>
                <w:sz w:val="18"/>
                <w:szCs w:val="18"/>
                <w:lang w:val="en-AU"/>
              </w:rPr>
              <w:t>Total short-term employee benefits</w:t>
            </w:r>
          </w:p>
        </w:tc>
        <w:tc>
          <w:tcPr>
            <w:tcW w:w="1210" w:type="dxa"/>
            <w:gridSpan w:val="3"/>
            <w:tcBorders>
              <w:top w:val="single" w:sz="4" w:space="0" w:color="auto"/>
              <w:left w:val="nil"/>
              <w:bottom w:val="single" w:sz="4" w:space="0" w:color="auto"/>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571,764 </w:t>
            </w: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single" w:sz="4" w:space="0" w:color="auto"/>
              <w:left w:val="nil"/>
              <w:bottom w:val="single" w:sz="4" w:space="0" w:color="auto"/>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521,992 </w:t>
            </w:r>
          </w:p>
        </w:tc>
        <w:tc>
          <w:tcPr>
            <w:tcW w:w="253"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color w:val="DD0806"/>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18"/>
                <w:szCs w:val="18"/>
                <w:lang w:val="en-AU"/>
              </w:rPr>
            </w:pP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p>
        </w:tc>
        <w:tc>
          <w:tcPr>
            <w:tcW w:w="253"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r w:rsidRPr="00D07267">
              <w:rPr>
                <w:rFonts w:eastAsia="Times New Roman" w:cs="Arial"/>
                <w:b/>
                <w:bCs/>
                <w:sz w:val="18"/>
                <w:szCs w:val="18"/>
                <w:lang w:val="en-AU"/>
              </w:rPr>
              <w:t>Post-employment benefits:</w:t>
            </w: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36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p>
        </w:tc>
        <w:tc>
          <w:tcPr>
            <w:tcW w:w="253"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Superannuation</w:t>
            </w: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62,859 </w:t>
            </w: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57,223 </w:t>
            </w:r>
          </w:p>
        </w:tc>
        <w:tc>
          <w:tcPr>
            <w:tcW w:w="253"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r w:rsidRPr="00D07267">
              <w:rPr>
                <w:rFonts w:eastAsia="Times New Roman" w:cs="Arial"/>
                <w:b/>
                <w:bCs/>
                <w:sz w:val="18"/>
                <w:szCs w:val="18"/>
                <w:lang w:val="en-AU"/>
              </w:rPr>
              <w:t>Total post-employment benefits</w:t>
            </w:r>
          </w:p>
        </w:tc>
        <w:tc>
          <w:tcPr>
            <w:tcW w:w="1210" w:type="dxa"/>
            <w:gridSpan w:val="3"/>
            <w:tcBorders>
              <w:top w:val="single" w:sz="4" w:space="0" w:color="auto"/>
              <w:left w:val="nil"/>
              <w:bottom w:val="single" w:sz="4" w:space="0" w:color="auto"/>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62,859 </w:t>
            </w: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single" w:sz="4" w:space="0" w:color="auto"/>
              <w:left w:val="nil"/>
              <w:bottom w:val="single" w:sz="4" w:space="0" w:color="auto"/>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57,223 </w:t>
            </w:r>
          </w:p>
        </w:tc>
        <w:tc>
          <w:tcPr>
            <w:tcW w:w="253"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18"/>
                <w:szCs w:val="18"/>
                <w:lang w:val="en-AU"/>
              </w:rPr>
            </w:pP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p>
        </w:tc>
        <w:tc>
          <w:tcPr>
            <w:tcW w:w="253"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20"/>
                <w:szCs w:val="20"/>
                <w:lang w:val="en-AU"/>
              </w:rPr>
            </w:pPr>
          </w:p>
        </w:tc>
        <w:tc>
          <w:tcPr>
            <w:tcW w:w="1448"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r w:rsidRPr="00D07267">
              <w:rPr>
                <w:rFonts w:eastAsia="Times New Roman" w:cs="Arial"/>
                <w:b/>
                <w:bCs/>
                <w:sz w:val="18"/>
                <w:szCs w:val="18"/>
                <w:lang w:val="en-AU"/>
              </w:rPr>
              <w:t>Other long-term employee benefits:</w:t>
            </w: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p>
        </w:tc>
        <w:tc>
          <w:tcPr>
            <w:tcW w:w="36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20"/>
                <w:szCs w:val="20"/>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Annual leave accrued</w:t>
            </w: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46,515 </w:t>
            </w:r>
          </w:p>
        </w:tc>
        <w:tc>
          <w:tcPr>
            <w:tcW w:w="365"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b/>
                <w:bCs/>
                <w:sz w:val="20"/>
                <w:szCs w:val="20"/>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43,869 </w:t>
            </w: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20"/>
                <w:szCs w:val="20"/>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Long-service leave</w:t>
            </w: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21,838 </w:t>
            </w: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12,716 </w:t>
            </w: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20"/>
                <w:szCs w:val="20"/>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r w:rsidRPr="00D07267">
              <w:rPr>
                <w:rFonts w:eastAsia="Times New Roman" w:cs="Arial"/>
                <w:b/>
                <w:bCs/>
                <w:sz w:val="18"/>
                <w:szCs w:val="18"/>
                <w:lang w:val="en-AU"/>
              </w:rPr>
              <w:t>Total other long-term employee benefits</w:t>
            </w:r>
          </w:p>
        </w:tc>
        <w:tc>
          <w:tcPr>
            <w:tcW w:w="1210" w:type="dxa"/>
            <w:gridSpan w:val="3"/>
            <w:tcBorders>
              <w:top w:val="single" w:sz="4" w:space="0" w:color="auto"/>
              <w:left w:val="nil"/>
              <w:bottom w:val="single" w:sz="4" w:space="0" w:color="auto"/>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68,353 </w:t>
            </w: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p>
        </w:tc>
        <w:tc>
          <w:tcPr>
            <w:tcW w:w="972" w:type="dxa"/>
            <w:gridSpan w:val="3"/>
            <w:tcBorders>
              <w:top w:val="single" w:sz="4" w:space="0" w:color="auto"/>
              <w:left w:val="nil"/>
              <w:bottom w:val="single" w:sz="4" w:space="0" w:color="auto"/>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56,585 </w:t>
            </w: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20"/>
                <w:szCs w:val="20"/>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sz w:val="18"/>
                <w:szCs w:val="18"/>
                <w:lang w:val="en-AU"/>
              </w:rPr>
            </w:pPr>
            <w:r w:rsidRPr="00D07267">
              <w:rPr>
                <w:rFonts w:eastAsia="Times New Roman" w:cs="Arial"/>
                <w:b/>
                <w:bCs/>
                <w:sz w:val="18"/>
                <w:szCs w:val="18"/>
                <w:lang w:val="en-AU"/>
              </w:rPr>
              <w:t>Total senior executive remuneration expenses</w:t>
            </w:r>
          </w:p>
        </w:tc>
        <w:tc>
          <w:tcPr>
            <w:tcW w:w="1210" w:type="dxa"/>
            <w:gridSpan w:val="3"/>
            <w:tcBorders>
              <w:top w:val="single" w:sz="4" w:space="0" w:color="auto"/>
              <w:left w:val="nil"/>
              <w:bottom w:val="single" w:sz="4" w:space="0" w:color="auto"/>
              <w:right w:val="nil"/>
            </w:tcBorders>
            <w:shd w:val="clear" w:color="auto" w:fill="auto"/>
            <w:noWrap/>
            <w:vAlign w:val="bottom"/>
          </w:tcPr>
          <w:p w:rsidR="003C5D3F" w:rsidRPr="00D07267" w:rsidRDefault="003C5D3F" w:rsidP="003C5D3F">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702,976 </w:t>
            </w:r>
          </w:p>
        </w:tc>
        <w:tc>
          <w:tcPr>
            <w:tcW w:w="36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b/>
                <w:bCs/>
                <w:sz w:val="20"/>
                <w:szCs w:val="20"/>
                <w:lang w:val="en-AU"/>
              </w:rPr>
            </w:pPr>
          </w:p>
        </w:tc>
        <w:tc>
          <w:tcPr>
            <w:tcW w:w="972" w:type="dxa"/>
            <w:gridSpan w:val="3"/>
            <w:tcBorders>
              <w:top w:val="single" w:sz="4" w:space="0" w:color="auto"/>
              <w:left w:val="nil"/>
              <w:bottom w:val="single" w:sz="4" w:space="0" w:color="auto"/>
              <w:right w:val="nil"/>
            </w:tcBorders>
            <w:shd w:val="clear" w:color="auto" w:fill="auto"/>
            <w:noWrap/>
            <w:vAlign w:val="bottom"/>
          </w:tcPr>
          <w:p w:rsidR="003C5D3F" w:rsidRPr="00D07267" w:rsidRDefault="003C5D3F" w:rsidP="003C5D3F">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635,800 </w:t>
            </w: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20"/>
                <w:szCs w:val="20"/>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18"/>
                <w:szCs w:val="18"/>
                <w:lang w:val="en-AU"/>
              </w:rPr>
            </w:pP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36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20"/>
                <w:szCs w:val="20"/>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240"/>
        </w:trPr>
        <w:tc>
          <w:tcPr>
            <w:tcW w:w="6155" w:type="dxa"/>
            <w:gridSpan w:val="4"/>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b/>
                <w:bCs/>
                <w:i/>
                <w:iCs/>
                <w:sz w:val="18"/>
                <w:szCs w:val="18"/>
                <w:lang w:val="en-AU"/>
              </w:rPr>
            </w:pPr>
            <w:r w:rsidRPr="00D07267">
              <w:rPr>
                <w:rFonts w:eastAsia="Times New Roman" w:cs="Arial"/>
                <w:b/>
                <w:bCs/>
                <w:i/>
                <w:iCs/>
                <w:sz w:val="18"/>
                <w:szCs w:val="18"/>
                <w:lang w:val="en-AU"/>
              </w:rPr>
              <w:t>Notes:</w:t>
            </w:r>
          </w:p>
        </w:tc>
        <w:tc>
          <w:tcPr>
            <w:tcW w:w="1210"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36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972"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20"/>
                <w:szCs w:val="20"/>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540"/>
        </w:trPr>
        <w:tc>
          <w:tcPr>
            <w:tcW w:w="8702" w:type="dxa"/>
            <w:gridSpan w:val="11"/>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18"/>
                <w:szCs w:val="18"/>
                <w:lang w:val="en-AU"/>
              </w:rPr>
            </w:pPr>
            <w:r w:rsidRPr="00D07267">
              <w:rPr>
                <w:rFonts w:eastAsia="Times New Roman" w:cs="Arial"/>
                <w:sz w:val="18"/>
                <w:szCs w:val="18"/>
                <w:lang w:val="en-AU"/>
              </w:rPr>
              <w:t>1. Note 12A is prepared on an accrual basis (therefore the performance bonus expenses disclosed above may differ from the cash 'Bonus paid' in Note 12B).</w:t>
            </w:r>
          </w:p>
        </w:tc>
        <w:tc>
          <w:tcPr>
            <w:tcW w:w="253" w:type="dxa"/>
            <w:tcBorders>
              <w:top w:val="nil"/>
              <w:left w:val="nil"/>
              <w:bottom w:val="nil"/>
              <w:right w:val="nil"/>
            </w:tcBorders>
            <w:shd w:val="clear" w:color="auto" w:fill="auto"/>
            <w:vAlign w:val="bottom"/>
          </w:tcPr>
          <w:p w:rsidR="003C5D3F" w:rsidRPr="00D07267" w:rsidRDefault="003C5D3F" w:rsidP="003C5D3F">
            <w:pPr>
              <w:spacing w:after="0" w:line="240" w:lineRule="auto"/>
              <w:jc w:val="right"/>
              <w:rPr>
                <w:rFonts w:eastAsia="Times New Roman" w:cs="Arial"/>
                <w:sz w:val="20"/>
                <w:szCs w:val="20"/>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trHeight w:val="560"/>
        </w:trPr>
        <w:tc>
          <w:tcPr>
            <w:tcW w:w="8702" w:type="dxa"/>
            <w:gridSpan w:val="11"/>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18"/>
                <w:szCs w:val="18"/>
                <w:lang w:val="en-AU"/>
              </w:rPr>
            </w:pPr>
            <w:r w:rsidRPr="00D07267">
              <w:rPr>
                <w:rFonts w:eastAsia="Times New Roman" w:cs="Arial"/>
                <w:sz w:val="18"/>
                <w:szCs w:val="18"/>
                <w:lang w:val="en-AU"/>
              </w:rPr>
              <w:t>2. Note 12A excludes acting arrangements and part-year service where total remuneration expensed for a senior executive was less than $195,000.</w:t>
            </w:r>
          </w:p>
        </w:tc>
        <w:tc>
          <w:tcPr>
            <w:tcW w:w="253"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b/>
                <w:bCs/>
                <w:sz w:val="18"/>
                <w:szCs w:val="18"/>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b/>
                <w:bCs/>
                <w:sz w:val="18"/>
                <w:szCs w:val="18"/>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74"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167" w:type="dxa"/>
            <w:gridSpan w:val="2"/>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r w:rsidR="003C5D3F" w:rsidRPr="00D07267">
        <w:trPr>
          <w:gridAfter w:val="3"/>
          <w:wAfter w:w="2477" w:type="dxa"/>
          <w:trHeight w:val="240"/>
        </w:trPr>
        <w:tc>
          <w:tcPr>
            <w:tcW w:w="3682" w:type="dxa"/>
            <w:tcBorders>
              <w:top w:val="nil"/>
              <w:left w:val="nil"/>
              <w:bottom w:val="nil"/>
              <w:right w:val="nil"/>
            </w:tcBorders>
            <w:shd w:val="clear" w:color="auto" w:fill="auto"/>
          </w:tcPr>
          <w:p w:rsidR="003C5D3F" w:rsidRPr="00D07267" w:rsidRDefault="003C5D3F" w:rsidP="003C5D3F">
            <w:pPr>
              <w:spacing w:after="0" w:line="240" w:lineRule="auto"/>
              <w:ind w:right="1375"/>
              <w:rPr>
                <w:rFonts w:eastAsia="Times New Roman" w:cs="Arial"/>
                <w:sz w:val="18"/>
                <w:szCs w:val="18"/>
                <w:lang w:val="en-AU"/>
              </w:rPr>
            </w:pPr>
          </w:p>
        </w:tc>
        <w:tc>
          <w:tcPr>
            <w:tcW w:w="1208"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18"/>
                <w:szCs w:val="18"/>
                <w:lang w:val="en-AU"/>
              </w:rPr>
            </w:pPr>
          </w:p>
        </w:tc>
        <w:tc>
          <w:tcPr>
            <w:tcW w:w="365" w:type="dxa"/>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18"/>
                <w:szCs w:val="18"/>
                <w:lang w:val="en-AU"/>
              </w:rPr>
            </w:pPr>
          </w:p>
        </w:tc>
        <w:tc>
          <w:tcPr>
            <w:tcW w:w="972" w:type="dxa"/>
            <w:gridSpan w:val="2"/>
            <w:tcBorders>
              <w:top w:val="nil"/>
              <w:left w:val="nil"/>
              <w:bottom w:val="nil"/>
              <w:right w:val="nil"/>
            </w:tcBorders>
            <w:shd w:val="clear" w:color="auto" w:fill="auto"/>
          </w:tcPr>
          <w:p w:rsidR="003C5D3F" w:rsidRPr="00D07267" w:rsidRDefault="003C5D3F" w:rsidP="003C5D3F">
            <w:pPr>
              <w:spacing w:after="0" w:line="240" w:lineRule="auto"/>
              <w:rPr>
                <w:rFonts w:eastAsia="Times New Roman" w:cs="Arial"/>
                <w:sz w:val="18"/>
                <w:szCs w:val="18"/>
                <w:lang w:val="en-AU"/>
              </w:rPr>
            </w:pPr>
          </w:p>
        </w:tc>
        <w:tc>
          <w:tcPr>
            <w:tcW w:w="253"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b/>
                <w:bCs/>
                <w:sz w:val="18"/>
                <w:szCs w:val="18"/>
                <w:lang w:val="en-AU"/>
              </w:rPr>
            </w:pPr>
          </w:p>
        </w:tc>
        <w:tc>
          <w:tcPr>
            <w:tcW w:w="1448"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b/>
                <w:bCs/>
                <w:sz w:val="18"/>
                <w:szCs w:val="18"/>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61"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24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72"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1167"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18"/>
                <w:szCs w:val="18"/>
                <w:lang w:val="en-AU"/>
              </w:rPr>
            </w:pPr>
          </w:p>
        </w:tc>
        <w:tc>
          <w:tcPr>
            <w:tcW w:w="236" w:type="dxa"/>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c>
          <w:tcPr>
            <w:tcW w:w="1385" w:type="dxa"/>
            <w:gridSpan w:val="3"/>
            <w:tcBorders>
              <w:top w:val="nil"/>
              <w:left w:val="nil"/>
              <w:bottom w:val="nil"/>
              <w:right w:val="nil"/>
            </w:tcBorders>
            <w:shd w:val="clear" w:color="auto" w:fill="auto"/>
            <w:noWrap/>
            <w:vAlign w:val="bottom"/>
          </w:tcPr>
          <w:p w:rsidR="003C5D3F" w:rsidRPr="00D07267" w:rsidRDefault="003C5D3F" w:rsidP="003C5D3F">
            <w:pPr>
              <w:spacing w:after="0" w:line="240" w:lineRule="auto"/>
              <w:rPr>
                <w:rFonts w:eastAsia="Times New Roman" w:cs="Arial"/>
                <w:sz w:val="20"/>
                <w:szCs w:val="20"/>
                <w:lang w:val="en-AU"/>
              </w:rPr>
            </w:pPr>
          </w:p>
        </w:tc>
      </w:tr>
    </w:tbl>
    <w:p w:rsidR="00ED6B2A" w:rsidRPr="00D07267" w:rsidRDefault="00ED6B2A">
      <w:pPr>
        <w:rPr>
          <w:rFonts w:cs="Arial"/>
        </w:rPr>
        <w:sectPr w:rsidR="00ED6B2A" w:rsidRPr="00D07267" w:rsidSect="001E2C73">
          <w:pgSz w:w="16838" w:h="11906" w:orient="landscape"/>
          <w:pgMar w:top="720" w:right="568" w:bottom="720" w:left="567" w:footer="284" w:gutter="0"/>
          <w:noEndnote/>
        </w:sectPr>
      </w:pPr>
    </w:p>
    <w:tbl>
      <w:tblPr>
        <w:tblW w:w="18097" w:type="dxa"/>
        <w:tblInd w:w="108" w:type="dxa"/>
        <w:tblLook w:val="04A0"/>
      </w:tblPr>
      <w:tblGrid>
        <w:gridCol w:w="5300"/>
        <w:gridCol w:w="1276"/>
        <w:gridCol w:w="267"/>
        <w:gridCol w:w="1275"/>
        <w:gridCol w:w="267"/>
        <w:gridCol w:w="1695"/>
        <w:gridCol w:w="267"/>
        <w:gridCol w:w="1372"/>
        <w:gridCol w:w="267"/>
        <w:gridCol w:w="1224"/>
        <w:gridCol w:w="272"/>
        <w:gridCol w:w="1148"/>
        <w:gridCol w:w="236"/>
        <w:gridCol w:w="1343"/>
        <w:gridCol w:w="236"/>
        <w:gridCol w:w="236"/>
        <w:gridCol w:w="236"/>
        <w:gridCol w:w="236"/>
        <w:gridCol w:w="236"/>
        <w:gridCol w:w="236"/>
        <w:gridCol w:w="236"/>
        <w:gridCol w:w="236"/>
      </w:tblGrid>
      <w:tr w:rsidR="00ED6B2A" w:rsidRPr="00D07267">
        <w:trPr>
          <w:gridAfter w:val="8"/>
          <w:wAfter w:w="1776" w:type="dxa"/>
          <w:trHeight w:val="240"/>
        </w:trPr>
        <w:tc>
          <w:tcPr>
            <w:tcW w:w="14733" w:type="dxa"/>
            <w:gridSpan w:val="12"/>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r w:rsidRPr="00D07267">
              <w:rPr>
                <w:rFonts w:eastAsia="Times New Roman" w:cs="Arial"/>
                <w:b/>
                <w:bCs/>
                <w:sz w:val="18"/>
                <w:szCs w:val="18"/>
                <w:u w:val="single"/>
                <w:lang w:val="en-AU"/>
              </w:rPr>
              <w:t>Note 12B: Average Annual Reportable Remuneration Paid to Substantive Senior Executives During the Reporting Period</w:t>
            </w:r>
          </w:p>
        </w:tc>
        <w:tc>
          <w:tcPr>
            <w:tcW w:w="222"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1366"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1278"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1277"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1696"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1375"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1233"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272"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1154"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222"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9353" w:type="dxa"/>
            <w:gridSpan w:val="11"/>
            <w:tcBorders>
              <w:top w:val="nil"/>
              <w:left w:val="nil"/>
              <w:bottom w:val="single" w:sz="4" w:space="0" w:color="auto"/>
              <w:right w:val="nil"/>
            </w:tcBorders>
            <w:shd w:val="clear" w:color="auto" w:fill="auto"/>
            <w:vAlign w:val="bottom"/>
          </w:tcPr>
          <w:p w:rsidR="00ED6B2A" w:rsidRPr="00D07267" w:rsidRDefault="00ED6B2A" w:rsidP="00ED6B2A">
            <w:pPr>
              <w:spacing w:after="0" w:line="240" w:lineRule="auto"/>
              <w:jc w:val="center"/>
              <w:rPr>
                <w:rFonts w:eastAsia="Times New Roman" w:cs="Arial"/>
                <w:b/>
                <w:bCs/>
                <w:sz w:val="18"/>
                <w:szCs w:val="18"/>
                <w:lang w:val="en-AU"/>
              </w:rPr>
            </w:pPr>
            <w:r w:rsidRPr="00D07267">
              <w:rPr>
                <w:rFonts w:eastAsia="Times New Roman" w:cs="Arial"/>
                <w:b/>
                <w:bCs/>
                <w:sz w:val="18"/>
                <w:szCs w:val="18"/>
                <w:lang w:val="en-AU"/>
              </w:rPr>
              <w:t xml:space="preserve"> 2014 </w:t>
            </w:r>
          </w:p>
        </w:tc>
        <w:tc>
          <w:tcPr>
            <w:tcW w:w="222" w:type="dxa"/>
            <w:tcBorders>
              <w:top w:val="nil"/>
              <w:left w:val="nil"/>
              <w:bottom w:val="nil"/>
              <w:right w:val="nil"/>
            </w:tcBorders>
            <w:shd w:val="clear" w:color="auto" w:fill="auto"/>
            <w:vAlign w:val="bottom"/>
          </w:tcPr>
          <w:p w:rsidR="00ED6B2A" w:rsidRPr="00D07267" w:rsidRDefault="00ED6B2A" w:rsidP="00ED6B2A">
            <w:pPr>
              <w:spacing w:after="0" w:line="240" w:lineRule="auto"/>
              <w:rPr>
                <w:rFonts w:eastAsia="Times New Roman" w:cs="Arial"/>
                <w:b/>
                <w:bCs/>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780"/>
        </w:trPr>
        <w:tc>
          <w:tcPr>
            <w:tcW w:w="5380"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Average annual reportable remuneration¹</w:t>
            </w:r>
          </w:p>
        </w:tc>
        <w:tc>
          <w:tcPr>
            <w:tcW w:w="1278"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Senior Executives</w:t>
            </w: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p>
        </w:tc>
        <w:tc>
          <w:tcPr>
            <w:tcW w:w="127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Reportable salary²</w:t>
            </w: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p>
        </w:tc>
        <w:tc>
          <w:tcPr>
            <w:tcW w:w="1696"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Contributed superannuation³</w:t>
            </w: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p>
        </w:tc>
        <w:tc>
          <w:tcPr>
            <w:tcW w:w="1375"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Reportable allowances</w:t>
            </w:r>
            <w:r w:rsidRPr="00D07267">
              <w:rPr>
                <w:rFonts w:ascii="Adobe Garamond Pro" w:eastAsia="Times New Roman" w:hAnsi="Adobe Garamond Pro" w:cs="Adobe Garamond Pro"/>
                <w:b/>
                <w:bCs/>
                <w:sz w:val="18"/>
                <w:szCs w:val="18"/>
                <w:lang w:val="en-AU"/>
              </w:rPr>
              <w:t>⁴</w:t>
            </w: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p>
        </w:tc>
        <w:tc>
          <w:tcPr>
            <w:tcW w:w="1233"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Bonus paid</w:t>
            </w:r>
            <w:r w:rsidRPr="00D07267">
              <w:rPr>
                <w:rFonts w:ascii="Adobe Garamond Pro" w:eastAsia="Times New Roman" w:hAnsi="Adobe Garamond Pro" w:cs="Adobe Garamond Pro"/>
                <w:b/>
                <w:bCs/>
                <w:sz w:val="18"/>
                <w:szCs w:val="18"/>
                <w:lang w:val="en-AU"/>
              </w:rPr>
              <w:t>⁵</w:t>
            </w:r>
          </w:p>
        </w:tc>
        <w:tc>
          <w:tcPr>
            <w:tcW w:w="272"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p>
        </w:tc>
        <w:tc>
          <w:tcPr>
            <w:tcW w:w="1154"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Total</w:t>
            </w:r>
          </w:p>
        </w:tc>
        <w:tc>
          <w:tcPr>
            <w:tcW w:w="222" w:type="dxa"/>
            <w:tcBorders>
              <w:top w:val="nil"/>
              <w:left w:val="nil"/>
              <w:bottom w:val="nil"/>
              <w:right w:val="nil"/>
            </w:tcBorders>
            <w:shd w:val="clear" w:color="auto" w:fill="auto"/>
            <w:vAlign w:val="bottom"/>
          </w:tcPr>
          <w:p w:rsidR="00ED6B2A" w:rsidRPr="00D07267" w:rsidRDefault="00ED6B2A" w:rsidP="00ED6B2A">
            <w:pPr>
              <w:spacing w:after="0" w:line="240" w:lineRule="auto"/>
              <w:jc w:val="center"/>
              <w:rPr>
                <w:rFonts w:eastAsia="Times New Roman" w:cs="Arial"/>
                <w:b/>
                <w:bCs/>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single" w:sz="4" w:space="0" w:color="auto"/>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r w:rsidRPr="00D07267">
              <w:rPr>
                <w:rFonts w:eastAsia="Times New Roman" w:cs="Arial"/>
                <w:sz w:val="20"/>
                <w:szCs w:val="20"/>
                <w:lang w:val="en-AU"/>
              </w:rPr>
              <w:t> </w:t>
            </w:r>
          </w:p>
        </w:tc>
        <w:tc>
          <w:tcPr>
            <w:tcW w:w="1278" w:type="dxa"/>
            <w:tcBorders>
              <w:top w:val="nil"/>
              <w:left w:val="nil"/>
              <w:bottom w:val="single" w:sz="4" w:space="0" w:color="auto"/>
              <w:right w:val="nil"/>
            </w:tcBorders>
            <w:shd w:val="clear" w:color="auto" w:fill="auto"/>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No.</w:t>
            </w:r>
          </w:p>
        </w:tc>
        <w:tc>
          <w:tcPr>
            <w:tcW w:w="267" w:type="dxa"/>
            <w:tcBorders>
              <w:top w:val="nil"/>
              <w:left w:val="nil"/>
              <w:bottom w:val="single" w:sz="4" w:space="0" w:color="auto"/>
              <w:right w:val="nil"/>
            </w:tcBorders>
            <w:shd w:val="clear" w:color="auto" w:fill="auto"/>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1277"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w:t>
            </w:r>
          </w:p>
        </w:tc>
        <w:tc>
          <w:tcPr>
            <w:tcW w:w="267"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w:t>
            </w:r>
          </w:p>
        </w:tc>
        <w:tc>
          <w:tcPr>
            <w:tcW w:w="1696"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w:t>
            </w:r>
          </w:p>
        </w:tc>
        <w:tc>
          <w:tcPr>
            <w:tcW w:w="267"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w:t>
            </w:r>
          </w:p>
        </w:tc>
        <w:tc>
          <w:tcPr>
            <w:tcW w:w="1375"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w:t>
            </w:r>
          </w:p>
        </w:tc>
        <w:tc>
          <w:tcPr>
            <w:tcW w:w="267"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w:t>
            </w:r>
          </w:p>
        </w:tc>
        <w:tc>
          <w:tcPr>
            <w:tcW w:w="1233"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w:t>
            </w:r>
          </w:p>
        </w:tc>
        <w:tc>
          <w:tcPr>
            <w:tcW w:w="272"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w:t>
            </w:r>
          </w:p>
        </w:tc>
        <w:tc>
          <w:tcPr>
            <w:tcW w:w="1154"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w:t>
            </w:r>
          </w:p>
        </w:tc>
        <w:tc>
          <w:tcPr>
            <w:tcW w:w="222" w:type="dxa"/>
            <w:tcBorders>
              <w:top w:val="nil"/>
              <w:left w:val="nil"/>
              <w:bottom w:val="nil"/>
              <w:right w:val="nil"/>
            </w:tcBorders>
            <w:shd w:val="clear" w:color="auto" w:fill="auto"/>
          </w:tcPr>
          <w:p w:rsidR="00ED6B2A" w:rsidRPr="00D07267" w:rsidRDefault="00ED6B2A" w:rsidP="00ED6B2A">
            <w:pPr>
              <w:spacing w:after="0" w:line="240" w:lineRule="auto"/>
              <w:jc w:val="right"/>
              <w:rPr>
                <w:rFonts w:eastAsia="Times New Roman" w:cs="Arial"/>
                <w:b/>
                <w:bCs/>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6658" w:type="dxa"/>
            <w:gridSpan w:val="2"/>
            <w:tcBorders>
              <w:top w:val="single" w:sz="4" w:space="0" w:color="auto"/>
              <w:left w:val="nil"/>
              <w:bottom w:val="nil"/>
              <w:right w:val="nil"/>
            </w:tcBorders>
            <w:shd w:val="clear" w:color="auto" w:fill="auto"/>
            <w:noWrap/>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Total reportable remuneration (including part-time arrangements):</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127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1696"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1375"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1233"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r w:rsidRPr="00D07267">
              <w:rPr>
                <w:rFonts w:eastAsia="Times New Roman" w:cs="Arial"/>
                <w:sz w:val="20"/>
                <w:szCs w:val="20"/>
                <w:lang w:val="en-AU"/>
              </w:rPr>
              <w:t> </w:t>
            </w:r>
          </w:p>
        </w:tc>
        <w:tc>
          <w:tcPr>
            <w:tcW w:w="272"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1154"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tcPr>
          <w:p w:rsidR="00ED6B2A" w:rsidRPr="00D07267" w:rsidRDefault="00ED6B2A"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$255,000 to $284,999</w:t>
            </w:r>
          </w:p>
        </w:tc>
        <w:tc>
          <w:tcPr>
            <w:tcW w:w="1278"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1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p>
        </w:tc>
        <w:tc>
          <w:tcPr>
            <w:tcW w:w="1277"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217,299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p>
        </w:tc>
        <w:tc>
          <w:tcPr>
            <w:tcW w:w="1696"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19,786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17,687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33"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23,615 </w:t>
            </w:r>
          </w:p>
        </w:tc>
        <w:tc>
          <w:tcPr>
            <w:tcW w:w="27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278,387 </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tcPr>
          <w:p w:rsidR="00ED6B2A" w:rsidRPr="00D07267" w:rsidRDefault="00ED6B2A"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$345,000 to $374,999</w:t>
            </w:r>
          </w:p>
        </w:tc>
        <w:tc>
          <w:tcPr>
            <w:tcW w:w="1278"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1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77"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265,590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696"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42,650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52,952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33"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 -</w:t>
            </w:r>
          </w:p>
        </w:tc>
        <w:tc>
          <w:tcPr>
            <w:tcW w:w="27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361,192 </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single" w:sz="4" w:space="0" w:color="auto"/>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Total</w:t>
            </w:r>
          </w:p>
        </w:tc>
        <w:tc>
          <w:tcPr>
            <w:tcW w:w="1278" w:type="dxa"/>
            <w:tcBorders>
              <w:top w:val="single" w:sz="4" w:space="0" w:color="auto"/>
              <w:left w:val="nil"/>
              <w:bottom w:val="single" w:sz="4" w:space="0" w:color="auto"/>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xml:space="preserve">2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127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1696"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1375"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1233"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272"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1154"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noWrap/>
            <w:vAlign w:val="bottom"/>
          </w:tcPr>
          <w:p w:rsidR="00ED6B2A" w:rsidRPr="00D07267" w:rsidRDefault="00ED6B2A" w:rsidP="009F7D0F">
            <w:pPr>
              <w:spacing w:after="0" w:line="240" w:lineRule="auto"/>
              <w:ind w:firstLineChars="100" w:firstLine="140"/>
              <w:rPr>
                <w:rFonts w:eastAsia="Times New Roman" w:cs="Arial"/>
                <w:sz w:val="18"/>
                <w:szCs w:val="18"/>
                <w:lang w:val="en-AU"/>
              </w:rPr>
            </w:pPr>
          </w:p>
        </w:tc>
        <w:tc>
          <w:tcPr>
            <w:tcW w:w="1278"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7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69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33"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7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noWrap/>
            <w:vAlign w:val="bottom"/>
          </w:tcPr>
          <w:p w:rsidR="00ED6B2A" w:rsidRPr="00D07267" w:rsidRDefault="00ED6B2A" w:rsidP="009F7D0F">
            <w:pPr>
              <w:spacing w:after="0" w:line="240" w:lineRule="auto"/>
              <w:ind w:firstLineChars="100" w:firstLine="140"/>
              <w:rPr>
                <w:rFonts w:eastAsia="Times New Roman" w:cs="Arial"/>
                <w:sz w:val="18"/>
                <w:szCs w:val="18"/>
                <w:lang w:val="en-AU"/>
              </w:rPr>
            </w:pPr>
          </w:p>
        </w:tc>
        <w:tc>
          <w:tcPr>
            <w:tcW w:w="1278"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27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69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233"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7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noWrap/>
            <w:vAlign w:val="bottom"/>
          </w:tcPr>
          <w:p w:rsidR="00ED6B2A" w:rsidRPr="00D07267" w:rsidRDefault="00ED6B2A" w:rsidP="009F7D0F">
            <w:pPr>
              <w:spacing w:after="0" w:line="240" w:lineRule="auto"/>
              <w:ind w:firstLineChars="100" w:firstLine="140"/>
              <w:rPr>
                <w:rFonts w:eastAsia="Times New Roman" w:cs="Arial"/>
                <w:sz w:val="18"/>
                <w:szCs w:val="18"/>
                <w:lang w:val="en-AU"/>
              </w:rPr>
            </w:pPr>
          </w:p>
        </w:tc>
        <w:tc>
          <w:tcPr>
            <w:tcW w:w="8199" w:type="dxa"/>
            <w:gridSpan w:val="10"/>
            <w:tcBorders>
              <w:top w:val="nil"/>
              <w:left w:val="nil"/>
              <w:bottom w:val="single" w:sz="4" w:space="0" w:color="auto"/>
              <w:right w:val="nil"/>
            </w:tcBorders>
            <w:shd w:val="clear" w:color="auto" w:fill="auto"/>
            <w:vAlign w:val="bottom"/>
          </w:tcPr>
          <w:p w:rsidR="00ED6B2A" w:rsidRPr="00D07267" w:rsidRDefault="00ED6B2A" w:rsidP="009F7D0F">
            <w:pPr>
              <w:spacing w:after="0" w:line="240" w:lineRule="auto"/>
              <w:ind w:firstLineChars="1500" w:firstLine="2101"/>
              <w:rPr>
                <w:rFonts w:eastAsia="Times New Roman" w:cs="Arial"/>
                <w:sz w:val="18"/>
                <w:szCs w:val="18"/>
                <w:lang w:val="en-AU"/>
              </w:rPr>
            </w:pPr>
            <w:r w:rsidRPr="00D07267">
              <w:rPr>
                <w:rFonts w:eastAsia="Times New Roman" w:cs="Arial"/>
                <w:sz w:val="18"/>
                <w:szCs w:val="18"/>
                <w:lang w:val="en-AU"/>
              </w:rPr>
              <w:t xml:space="preserve"> 2013 </w:t>
            </w: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460"/>
        </w:trPr>
        <w:tc>
          <w:tcPr>
            <w:tcW w:w="5380"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Average annual reportable remuneration¹</w:t>
            </w:r>
          </w:p>
        </w:tc>
        <w:tc>
          <w:tcPr>
            <w:tcW w:w="1278"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Senior Executives</w:t>
            </w: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p>
        </w:tc>
        <w:tc>
          <w:tcPr>
            <w:tcW w:w="127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Reportable salary²</w:t>
            </w: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p>
        </w:tc>
        <w:tc>
          <w:tcPr>
            <w:tcW w:w="1696"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Contributed superannuation³</w:t>
            </w: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p>
        </w:tc>
        <w:tc>
          <w:tcPr>
            <w:tcW w:w="1375"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Reportable allowances</w:t>
            </w:r>
            <w:r w:rsidRPr="00D07267">
              <w:rPr>
                <w:rFonts w:ascii="Adobe Garamond Pro" w:eastAsia="Times New Roman" w:hAnsi="Adobe Garamond Pro" w:cs="Adobe Garamond Pro"/>
                <w:sz w:val="18"/>
                <w:szCs w:val="18"/>
                <w:lang w:val="en-AU"/>
              </w:rPr>
              <w:t>⁴</w:t>
            </w:r>
          </w:p>
        </w:tc>
        <w:tc>
          <w:tcPr>
            <w:tcW w:w="267"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p>
        </w:tc>
        <w:tc>
          <w:tcPr>
            <w:tcW w:w="1233"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Bonus paid</w:t>
            </w:r>
            <w:r w:rsidRPr="00D07267">
              <w:rPr>
                <w:rFonts w:ascii="Adobe Garamond Pro" w:eastAsia="Times New Roman" w:hAnsi="Adobe Garamond Pro" w:cs="Adobe Garamond Pro"/>
                <w:sz w:val="18"/>
                <w:szCs w:val="18"/>
                <w:lang w:val="en-AU"/>
              </w:rPr>
              <w:t>⁵</w:t>
            </w:r>
          </w:p>
        </w:tc>
        <w:tc>
          <w:tcPr>
            <w:tcW w:w="272" w:type="dxa"/>
            <w:tcBorders>
              <w:top w:val="nil"/>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p>
        </w:tc>
        <w:tc>
          <w:tcPr>
            <w:tcW w:w="1154" w:type="dxa"/>
            <w:tcBorders>
              <w:top w:val="single" w:sz="4" w:space="0" w:color="auto"/>
              <w:left w:val="nil"/>
              <w:bottom w:val="nil"/>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Total</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single" w:sz="4" w:space="0" w:color="auto"/>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r w:rsidRPr="00D07267">
              <w:rPr>
                <w:rFonts w:eastAsia="Times New Roman" w:cs="Arial"/>
                <w:sz w:val="20"/>
                <w:szCs w:val="20"/>
                <w:lang w:val="en-AU"/>
              </w:rPr>
              <w:t> </w:t>
            </w:r>
          </w:p>
        </w:tc>
        <w:tc>
          <w:tcPr>
            <w:tcW w:w="1278" w:type="dxa"/>
            <w:tcBorders>
              <w:top w:val="nil"/>
              <w:left w:val="nil"/>
              <w:bottom w:val="single" w:sz="4" w:space="0" w:color="auto"/>
              <w:right w:val="nil"/>
            </w:tcBorders>
            <w:shd w:val="clear" w:color="auto" w:fill="auto"/>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No.</w:t>
            </w:r>
          </w:p>
        </w:tc>
        <w:tc>
          <w:tcPr>
            <w:tcW w:w="267"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277"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w:t>
            </w:r>
          </w:p>
        </w:tc>
        <w:tc>
          <w:tcPr>
            <w:tcW w:w="267"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696"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w:t>
            </w:r>
          </w:p>
        </w:tc>
        <w:tc>
          <w:tcPr>
            <w:tcW w:w="267"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375"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w:t>
            </w:r>
          </w:p>
        </w:tc>
        <w:tc>
          <w:tcPr>
            <w:tcW w:w="267"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233"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w:t>
            </w:r>
          </w:p>
        </w:tc>
        <w:tc>
          <w:tcPr>
            <w:tcW w:w="272"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154" w:type="dxa"/>
            <w:tcBorders>
              <w:top w:val="nil"/>
              <w:left w:val="nil"/>
              <w:bottom w:val="single" w:sz="4" w:space="0" w:color="auto"/>
              <w:right w:val="nil"/>
            </w:tcBorders>
            <w:shd w:val="clear" w:color="auto" w:fill="auto"/>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6658" w:type="dxa"/>
            <w:gridSpan w:val="2"/>
            <w:tcBorders>
              <w:top w:val="single" w:sz="4" w:space="0" w:color="auto"/>
              <w:left w:val="nil"/>
              <w:bottom w:val="nil"/>
              <w:right w:val="nil"/>
            </w:tcBorders>
            <w:shd w:val="clear" w:color="auto" w:fill="auto"/>
            <w:noWrap/>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Total reportable remuneration (including part-time arrangements):</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127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1696"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w:t>
            </w:r>
          </w:p>
        </w:tc>
        <w:tc>
          <w:tcPr>
            <w:tcW w:w="1233"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r w:rsidRPr="00D07267">
              <w:rPr>
                <w:rFonts w:eastAsia="Times New Roman" w:cs="Arial"/>
                <w:sz w:val="20"/>
                <w:szCs w:val="20"/>
                <w:lang w:val="en-AU"/>
              </w:rPr>
              <w:t> </w:t>
            </w:r>
          </w:p>
        </w:tc>
        <w:tc>
          <w:tcPr>
            <w:tcW w:w="272"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r w:rsidRPr="00D07267">
              <w:rPr>
                <w:rFonts w:eastAsia="Times New Roman" w:cs="Arial"/>
                <w:sz w:val="20"/>
                <w:szCs w:val="20"/>
                <w:lang w:val="en-AU"/>
              </w:rPr>
              <w:t> </w:t>
            </w:r>
          </w:p>
        </w:tc>
        <w:tc>
          <w:tcPr>
            <w:tcW w:w="1154"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b/>
                <w:bCs/>
                <w:sz w:val="18"/>
                <w:szCs w:val="18"/>
                <w:lang w:val="en-AU"/>
              </w:rPr>
            </w:pPr>
            <w:r w:rsidRPr="00D07267">
              <w:rPr>
                <w:rFonts w:eastAsia="Times New Roman" w:cs="Arial"/>
                <w:b/>
                <w:bCs/>
                <w:sz w:val="18"/>
                <w:szCs w:val="18"/>
                <w:lang w:val="en-AU"/>
              </w:rPr>
              <w:t> </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tcPr>
          <w:p w:rsidR="00ED6B2A" w:rsidRPr="00D07267" w:rsidRDefault="00ED6B2A"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$195,000 to $224,999</w:t>
            </w:r>
          </w:p>
        </w:tc>
        <w:tc>
          <w:tcPr>
            <w:tcW w:w="1278"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1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p>
        </w:tc>
        <w:tc>
          <w:tcPr>
            <w:tcW w:w="1277"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173,760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696"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15,501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30,355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33"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 -</w:t>
            </w:r>
          </w:p>
        </w:tc>
        <w:tc>
          <w:tcPr>
            <w:tcW w:w="27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219,616 </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tcPr>
          <w:p w:rsidR="00ED6B2A" w:rsidRPr="00D07267" w:rsidRDefault="00ED6B2A" w:rsidP="009F7D0F">
            <w:pPr>
              <w:spacing w:after="0" w:line="240" w:lineRule="auto"/>
              <w:ind w:firstLineChars="200" w:firstLine="280"/>
              <w:rPr>
                <w:rFonts w:eastAsia="Times New Roman" w:cs="Arial"/>
                <w:sz w:val="18"/>
                <w:szCs w:val="18"/>
                <w:lang w:val="en-AU"/>
              </w:rPr>
            </w:pPr>
            <w:r w:rsidRPr="00D07267">
              <w:rPr>
                <w:rFonts w:eastAsia="Times New Roman" w:cs="Arial"/>
                <w:sz w:val="18"/>
                <w:szCs w:val="18"/>
                <w:lang w:val="en-AU"/>
              </w:rPr>
              <w:t>$315,000 to $344,999</w:t>
            </w:r>
          </w:p>
        </w:tc>
        <w:tc>
          <w:tcPr>
            <w:tcW w:w="1278"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1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p>
        </w:tc>
        <w:tc>
          <w:tcPr>
            <w:tcW w:w="1277"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236,760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p>
        </w:tc>
        <w:tc>
          <w:tcPr>
            <w:tcW w:w="1696"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40,504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55,150 </w:t>
            </w: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p>
        </w:tc>
        <w:tc>
          <w:tcPr>
            <w:tcW w:w="1233"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 -</w:t>
            </w:r>
          </w:p>
        </w:tc>
        <w:tc>
          <w:tcPr>
            <w:tcW w:w="272"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332,414 </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single" w:sz="4" w:space="0" w:color="auto"/>
              <w:right w:val="nil"/>
            </w:tcBorders>
            <w:shd w:val="clear" w:color="auto" w:fill="auto"/>
            <w:noWrap/>
            <w:vAlign w:val="bottom"/>
          </w:tcPr>
          <w:p w:rsidR="00ED6B2A" w:rsidRPr="00D07267" w:rsidRDefault="00ED6B2A" w:rsidP="00ED6B2A">
            <w:pPr>
              <w:spacing w:after="0" w:line="240" w:lineRule="auto"/>
              <w:rPr>
                <w:rFonts w:eastAsia="Times New Roman" w:cs="Arial"/>
                <w:b/>
                <w:bCs/>
                <w:sz w:val="18"/>
                <w:szCs w:val="18"/>
                <w:lang w:val="en-AU"/>
              </w:rPr>
            </w:pPr>
            <w:r w:rsidRPr="00D07267">
              <w:rPr>
                <w:rFonts w:eastAsia="Times New Roman" w:cs="Arial"/>
                <w:b/>
                <w:bCs/>
                <w:sz w:val="18"/>
                <w:szCs w:val="18"/>
                <w:lang w:val="en-AU"/>
              </w:rPr>
              <w:t>Total</w:t>
            </w:r>
          </w:p>
        </w:tc>
        <w:tc>
          <w:tcPr>
            <w:tcW w:w="1278" w:type="dxa"/>
            <w:tcBorders>
              <w:top w:val="single" w:sz="4" w:space="0" w:color="auto"/>
              <w:left w:val="nil"/>
              <w:bottom w:val="single" w:sz="4" w:space="0" w:color="auto"/>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xml:space="preserve">2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27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696"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375"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267"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233"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272"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1154" w:type="dxa"/>
            <w:tcBorders>
              <w:top w:val="single" w:sz="4" w:space="0" w:color="auto"/>
              <w:left w:val="nil"/>
              <w:bottom w:val="nil"/>
              <w:right w:val="nil"/>
            </w:tcBorders>
            <w:shd w:val="clear" w:color="auto" w:fill="auto"/>
            <w:noWrap/>
            <w:vAlign w:val="bottom"/>
          </w:tcPr>
          <w:p w:rsidR="00ED6B2A" w:rsidRPr="00D07267" w:rsidRDefault="00ED6B2A" w:rsidP="00ED6B2A">
            <w:pPr>
              <w:spacing w:after="0" w:line="240" w:lineRule="auto"/>
              <w:jc w:val="right"/>
              <w:rPr>
                <w:rFonts w:eastAsia="Times New Roman" w:cs="Arial"/>
                <w:sz w:val="18"/>
                <w:szCs w:val="18"/>
                <w:lang w:val="en-AU"/>
              </w:rPr>
            </w:pPr>
            <w:r w:rsidRPr="00D07267">
              <w:rPr>
                <w:rFonts w:eastAsia="Times New Roman" w:cs="Arial"/>
                <w:sz w:val="18"/>
                <w:szCs w:val="18"/>
                <w:lang w:val="en-AU"/>
              </w:rPr>
              <w:t> </w:t>
            </w: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noWrap/>
            <w:vAlign w:val="bottom"/>
          </w:tcPr>
          <w:p w:rsidR="00ED6B2A" w:rsidRPr="00D07267" w:rsidRDefault="00ED6B2A" w:rsidP="009F7D0F">
            <w:pPr>
              <w:spacing w:after="0" w:line="240" w:lineRule="auto"/>
              <w:ind w:firstLineChars="100" w:firstLine="140"/>
              <w:rPr>
                <w:rFonts w:eastAsia="Times New Roman" w:cs="Arial"/>
                <w:sz w:val="18"/>
                <w:szCs w:val="18"/>
                <w:lang w:val="en-AU"/>
              </w:rPr>
            </w:pPr>
          </w:p>
        </w:tc>
        <w:tc>
          <w:tcPr>
            <w:tcW w:w="1278"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7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69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33"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7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b/>
                <w:bCs/>
                <w:i/>
                <w:iCs/>
                <w:sz w:val="18"/>
                <w:szCs w:val="18"/>
                <w:lang w:val="en-AU"/>
              </w:rPr>
            </w:pPr>
            <w:r w:rsidRPr="00D07267">
              <w:rPr>
                <w:rFonts w:eastAsia="Times New Roman" w:cs="Arial"/>
                <w:b/>
                <w:bCs/>
                <w:i/>
                <w:iCs/>
                <w:sz w:val="18"/>
                <w:szCs w:val="18"/>
                <w:lang w:val="en-AU"/>
              </w:rPr>
              <w:t>Notes:</w:t>
            </w:r>
          </w:p>
        </w:tc>
        <w:tc>
          <w:tcPr>
            <w:tcW w:w="1278"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27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69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233"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7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20"/>
                <w:szCs w:val="20"/>
                <w:lang w:val="en-AU"/>
              </w:rPr>
            </w:pPr>
          </w:p>
        </w:tc>
      </w:tr>
      <w:tr w:rsidR="00ED6B2A" w:rsidRPr="00D07267">
        <w:trPr>
          <w:gridAfter w:val="8"/>
          <w:wAfter w:w="1776" w:type="dxa"/>
          <w:trHeight w:val="480"/>
        </w:trPr>
        <w:tc>
          <w:tcPr>
            <w:tcW w:w="14733" w:type="dxa"/>
            <w:gridSpan w:val="12"/>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1. This table reports substantive senior executives who received remuneration during the reporting period. Each row is an averaged figure based on headcount for individuals in the band.</w:t>
            </w:r>
          </w:p>
        </w:tc>
        <w:tc>
          <w:tcPr>
            <w:tcW w:w="222"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r>
      <w:tr w:rsidR="00ED6B2A" w:rsidRPr="00D07267">
        <w:trPr>
          <w:gridAfter w:val="8"/>
          <w:wAfter w:w="1776" w:type="dxa"/>
          <w:trHeight w:val="1320"/>
        </w:trPr>
        <w:tc>
          <w:tcPr>
            <w:tcW w:w="14733" w:type="dxa"/>
            <w:gridSpan w:val="12"/>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xml:space="preserve">2. 'Reportable salary' includes the following: </w:t>
            </w:r>
            <w:r w:rsidRPr="00D07267">
              <w:rPr>
                <w:rFonts w:eastAsia="Times New Roman" w:cs="Arial"/>
                <w:sz w:val="18"/>
                <w:szCs w:val="18"/>
                <w:lang w:val="en-AU"/>
              </w:rPr>
              <w:br/>
            </w:r>
            <w:proofErr w:type="gramStart"/>
            <w:r w:rsidRPr="00D07267">
              <w:rPr>
                <w:rFonts w:eastAsia="Times New Roman" w:cs="Arial"/>
                <w:sz w:val="18"/>
                <w:szCs w:val="18"/>
                <w:lang w:val="en-AU"/>
              </w:rPr>
              <w:t xml:space="preserve">    a</w:t>
            </w:r>
            <w:proofErr w:type="gramEnd"/>
            <w:r w:rsidRPr="00D07267">
              <w:rPr>
                <w:rFonts w:eastAsia="Times New Roman" w:cs="Arial"/>
                <w:sz w:val="18"/>
                <w:szCs w:val="18"/>
                <w:lang w:val="en-AU"/>
              </w:rPr>
              <w:t>) gross payments (less any bonuses paid, which are separated out and disclosed in the 'bonus paid' column);</w:t>
            </w:r>
            <w:r w:rsidRPr="00D07267">
              <w:rPr>
                <w:rFonts w:eastAsia="Times New Roman" w:cs="Arial"/>
                <w:sz w:val="18"/>
                <w:szCs w:val="18"/>
                <w:lang w:val="en-AU"/>
              </w:rPr>
              <w:br/>
              <w:t xml:space="preserve">    b) reportable fringe benefits (at the net amount prior to 'grossing up' for tax purposes); </w:t>
            </w:r>
            <w:r w:rsidRPr="00D07267">
              <w:rPr>
                <w:rFonts w:eastAsia="Times New Roman" w:cs="Arial"/>
                <w:sz w:val="18"/>
                <w:szCs w:val="18"/>
                <w:lang w:val="en-AU"/>
              </w:rPr>
              <w:br/>
              <w:t xml:space="preserve">    c) reportable employer superannuation contributions; and</w:t>
            </w:r>
            <w:r w:rsidRPr="00D07267">
              <w:rPr>
                <w:rFonts w:eastAsia="Times New Roman" w:cs="Arial"/>
                <w:sz w:val="18"/>
                <w:szCs w:val="18"/>
                <w:lang w:val="en-AU"/>
              </w:rPr>
              <w:br/>
              <w:t xml:space="preserve">    d) exempt foreign employment income.</w:t>
            </w:r>
          </w:p>
        </w:tc>
        <w:tc>
          <w:tcPr>
            <w:tcW w:w="222"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r>
      <w:tr w:rsidR="00ED6B2A" w:rsidRPr="00D07267">
        <w:trPr>
          <w:gridAfter w:val="8"/>
          <w:wAfter w:w="1776" w:type="dxa"/>
          <w:trHeight w:val="520"/>
        </w:trPr>
        <w:tc>
          <w:tcPr>
            <w:tcW w:w="14733" w:type="dxa"/>
            <w:gridSpan w:val="12"/>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3. The 'contributed superannuation' amount is the average cost to the entity for the provision of superannuation benefits to substantive senior executives in that reportable remuneration band during the reporting period.</w:t>
            </w:r>
          </w:p>
        </w:tc>
        <w:tc>
          <w:tcPr>
            <w:tcW w:w="222"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r>
      <w:tr w:rsidR="00ED6B2A" w:rsidRPr="00D07267">
        <w:trPr>
          <w:gridAfter w:val="8"/>
          <w:wAfter w:w="1776" w:type="dxa"/>
          <w:trHeight w:val="520"/>
        </w:trPr>
        <w:tc>
          <w:tcPr>
            <w:tcW w:w="14733" w:type="dxa"/>
            <w:gridSpan w:val="12"/>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xml:space="preserve">3. The 'contributed superannuation' amount is the average actual superannuation contributions paid to senior executives in that reportable remuneration band during the reporting period, including any </w:t>
            </w:r>
            <w:proofErr w:type="gramStart"/>
            <w:r w:rsidRPr="00D07267">
              <w:rPr>
                <w:rFonts w:eastAsia="Times New Roman" w:cs="Arial"/>
                <w:sz w:val="18"/>
                <w:szCs w:val="18"/>
                <w:lang w:val="en-AU"/>
              </w:rPr>
              <w:t>salary sacrificed</w:t>
            </w:r>
            <w:proofErr w:type="gramEnd"/>
            <w:r w:rsidRPr="00D07267">
              <w:rPr>
                <w:rFonts w:eastAsia="Times New Roman" w:cs="Arial"/>
                <w:sz w:val="18"/>
                <w:szCs w:val="18"/>
                <w:lang w:val="en-AU"/>
              </w:rPr>
              <w:t xml:space="preserve"> amounts, as per the individuals' payslips.</w:t>
            </w:r>
          </w:p>
        </w:tc>
        <w:tc>
          <w:tcPr>
            <w:tcW w:w="222"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r>
      <w:tr w:rsidR="00ED6B2A" w:rsidRPr="00D07267">
        <w:trPr>
          <w:gridAfter w:val="8"/>
          <w:wAfter w:w="1776" w:type="dxa"/>
          <w:trHeight w:val="240"/>
        </w:trPr>
        <w:tc>
          <w:tcPr>
            <w:tcW w:w="14733" w:type="dxa"/>
            <w:gridSpan w:val="12"/>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4. 'Reportable allowances' are the average actual allowances paid as per the 'total allowances' line on individuals' payment summaries.</w:t>
            </w:r>
          </w:p>
        </w:tc>
        <w:tc>
          <w:tcPr>
            <w:tcW w:w="222"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r>
      <w:tr w:rsidR="00ED6B2A" w:rsidRPr="00D07267">
        <w:trPr>
          <w:gridAfter w:val="8"/>
          <w:wAfter w:w="1776" w:type="dxa"/>
          <w:trHeight w:val="520"/>
        </w:trPr>
        <w:tc>
          <w:tcPr>
            <w:tcW w:w="14733" w:type="dxa"/>
            <w:gridSpan w:val="12"/>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r w:rsidRPr="00D07267">
              <w:rPr>
                <w:rFonts w:eastAsia="Times New Roman" w:cs="Arial"/>
                <w:sz w:val="18"/>
                <w:szCs w:val="18"/>
                <w:lang w:val="en-AU"/>
              </w:rPr>
              <w:t xml:space="preserve">5. 'Bonus paid' represents average actual bonuses paid during the reporting period in that reportable remuneration band. The 'bonus paid' within a particular band may vary between financial years due to various factors such as individuals commencing with or leaving the entity during the financial year.  </w:t>
            </w:r>
          </w:p>
        </w:tc>
        <w:tc>
          <w:tcPr>
            <w:tcW w:w="222"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r>
      <w:tr w:rsidR="00ED6B2A" w:rsidRPr="00D07267">
        <w:trPr>
          <w:gridAfter w:val="8"/>
          <w:wAfter w:w="1776" w:type="dxa"/>
          <w:trHeight w:val="240"/>
        </w:trPr>
        <w:tc>
          <w:tcPr>
            <w:tcW w:w="5380"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78"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7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69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75"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67"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233"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7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154"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222"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c>
          <w:tcPr>
            <w:tcW w:w="1366" w:type="dxa"/>
            <w:tcBorders>
              <w:top w:val="nil"/>
              <w:left w:val="nil"/>
              <w:bottom w:val="nil"/>
              <w:right w:val="nil"/>
            </w:tcBorders>
            <w:shd w:val="clear" w:color="auto" w:fill="auto"/>
            <w:noWrap/>
            <w:vAlign w:val="bottom"/>
          </w:tcPr>
          <w:p w:rsidR="00ED6B2A" w:rsidRPr="00D07267" w:rsidRDefault="00ED6B2A" w:rsidP="00ED6B2A">
            <w:pPr>
              <w:spacing w:after="0" w:line="240" w:lineRule="auto"/>
              <w:rPr>
                <w:rFonts w:eastAsia="Times New Roman" w:cs="Arial"/>
                <w:sz w:val="18"/>
                <w:szCs w:val="18"/>
                <w:lang w:val="en-AU"/>
              </w:rPr>
            </w:pPr>
          </w:p>
        </w:tc>
      </w:tr>
      <w:tr w:rsidR="00ED6B2A" w:rsidRPr="00D07267">
        <w:trPr>
          <w:trHeight w:val="240"/>
        </w:trPr>
        <w:tc>
          <w:tcPr>
            <w:tcW w:w="18097" w:type="dxa"/>
            <w:gridSpan w:val="22"/>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r w:rsidRPr="00D07267">
              <w:rPr>
                <w:rFonts w:eastAsia="Times New Roman" w:cs="Arial"/>
                <w:b/>
                <w:bCs/>
                <w:sz w:val="18"/>
                <w:szCs w:val="18"/>
                <w:u w:val="single"/>
                <w:lang w:val="en-AU"/>
              </w:rPr>
              <w:t>Note 12C: Other Highly Paid Staff</w:t>
            </w:r>
          </w:p>
        </w:tc>
      </w:tr>
      <w:tr w:rsidR="00ED6B2A" w:rsidRPr="00D07267">
        <w:trPr>
          <w:trHeight w:val="240"/>
        </w:trPr>
        <w:tc>
          <w:tcPr>
            <w:tcW w:w="5380"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1278"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267"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1277"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267"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1696"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267"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1375"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267"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1233"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272"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1154"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222"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1366" w:type="dxa"/>
            <w:tcBorders>
              <w:top w:val="nil"/>
              <w:left w:val="nil"/>
              <w:bottom w:val="nil"/>
              <w:right w:val="nil"/>
            </w:tcBorders>
            <w:shd w:val="clear" w:color="auto" w:fill="auto"/>
          </w:tcPr>
          <w:p w:rsidR="00ED6B2A" w:rsidRPr="00D07267" w:rsidRDefault="00ED6B2A" w:rsidP="00ED6B2A">
            <w:pPr>
              <w:spacing w:after="0" w:line="240" w:lineRule="auto"/>
              <w:rPr>
                <w:rFonts w:eastAsia="Times New Roman" w:cs="Arial"/>
                <w:b/>
                <w:bCs/>
                <w:sz w:val="18"/>
                <w:szCs w:val="18"/>
                <w:u w:val="single"/>
                <w:lang w:val="en-AU"/>
              </w:rPr>
            </w:pPr>
          </w:p>
        </w:tc>
        <w:tc>
          <w:tcPr>
            <w:tcW w:w="222" w:type="dxa"/>
            <w:vAlign w:val="center"/>
          </w:tcPr>
          <w:p w:rsidR="00ED6B2A" w:rsidRPr="00D07267" w:rsidRDefault="00ED6B2A" w:rsidP="00ED6B2A">
            <w:pPr>
              <w:spacing w:after="0" w:line="240" w:lineRule="auto"/>
              <w:rPr>
                <w:rFonts w:eastAsia="Times New Roman" w:cs="Arial"/>
                <w:sz w:val="20"/>
                <w:szCs w:val="20"/>
                <w:lang w:val="en-AU"/>
              </w:rPr>
            </w:pPr>
          </w:p>
        </w:tc>
        <w:tc>
          <w:tcPr>
            <w:tcW w:w="222" w:type="dxa"/>
            <w:vAlign w:val="center"/>
          </w:tcPr>
          <w:p w:rsidR="00ED6B2A" w:rsidRPr="00D07267" w:rsidRDefault="00ED6B2A" w:rsidP="00ED6B2A">
            <w:pPr>
              <w:spacing w:after="0" w:line="240" w:lineRule="auto"/>
              <w:rPr>
                <w:rFonts w:eastAsia="Times New Roman" w:cs="Arial"/>
                <w:sz w:val="20"/>
                <w:szCs w:val="20"/>
                <w:lang w:val="en-AU"/>
              </w:rPr>
            </w:pPr>
          </w:p>
        </w:tc>
        <w:tc>
          <w:tcPr>
            <w:tcW w:w="222" w:type="dxa"/>
            <w:vAlign w:val="center"/>
          </w:tcPr>
          <w:p w:rsidR="00ED6B2A" w:rsidRPr="00D07267" w:rsidRDefault="00ED6B2A" w:rsidP="00ED6B2A">
            <w:pPr>
              <w:spacing w:after="0" w:line="240" w:lineRule="auto"/>
              <w:rPr>
                <w:rFonts w:eastAsia="Times New Roman" w:cs="Arial"/>
                <w:sz w:val="20"/>
                <w:szCs w:val="20"/>
                <w:lang w:val="en-AU"/>
              </w:rPr>
            </w:pPr>
          </w:p>
        </w:tc>
        <w:tc>
          <w:tcPr>
            <w:tcW w:w="222" w:type="dxa"/>
            <w:vAlign w:val="center"/>
          </w:tcPr>
          <w:p w:rsidR="00ED6B2A" w:rsidRPr="00D07267" w:rsidRDefault="00ED6B2A" w:rsidP="00ED6B2A">
            <w:pPr>
              <w:spacing w:after="0" w:line="240" w:lineRule="auto"/>
              <w:rPr>
                <w:rFonts w:eastAsia="Times New Roman" w:cs="Arial"/>
                <w:sz w:val="20"/>
                <w:szCs w:val="20"/>
                <w:lang w:val="en-AU"/>
              </w:rPr>
            </w:pPr>
          </w:p>
        </w:tc>
        <w:tc>
          <w:tcPr>
            <w:tcW w:w="222" w:type="dxa"/>
            <w:vAlign w:val="center"/>
          </w:tcPr>
          <w:p w:rsidR="00ED6B2A" w:rsidRPr="00D07267" w:rsidRDefault="00ED6B2A" w:rsidP="00ED6B2A">
            <w:pPr>
              <w:spacing w:after="0" w:line="240" w:lineRule="auto"/>
              <w:rPr>
                <w:rFonts w:eastAsia="Times New Roman" w:cs="Arial"/>
                <w:sz w:val="20"/>
                <w:szCs w:val="20"/>
                <w:lang w:val="en-AU"/>
              </w:rPr>
            </w:pPr>
          </w:p>
        </w:tc>
        <w:tc>
          <w:tcPr>
            <w:tcW w:w="222" w:type="dxa"/>
            <w:vAlign w:val="center"/>
          </w:tcPr>
          <w:p w:rsidR="00ED6B2A" w:rsidRPr="00D07267" w:rsidRDefault="00ED6B2A" w:rsidP="00ED6B2A">
            <w:pPr>
              <w:spacing w:after="0" w:line="240" w:lineRule="auto"/>
              <w:rPr>
                <w:rFonts w:eastAsia="Times New Roman" w:cs="Arial"/>
                <w:sz w:val="20"/>
                <w:szCs w:val="20"/>
                <w:lang w:val="en-AU"/>
              </w:rPr>
            </w:pPr>
          </w:p>
        </w:tc>
        <w:tc>
          <w:tcPr>
            <w:tcW w:w="222" w:type="dxa"/>
            <w:vAlign w:val="center"/>
          </w:tcPr>
          <w:p w:rsidR="00ED6B2A" w:rsidRPr="00D07267" w:rsidRDefault="00ED6B2A" w:rsidP="00ED6B2A">
            <w:pPr>
              <w:spacing w:after="0" w:line="240" w:lineRule="auto"/>
              <w:rPr>
                <w:rFonts w:eastAsia="Times New Roman" w:cs="Arial"/>
                <w:sz w:val="20"/>
                <w:szCs w:val="20"/>
                <w:lang w:val="en-AU"/>
              </w:rPr>
            </w:pPr>
          </w:p>
        </w:tc>
        <w:tc>
          <w:tcPr>
            <w:tcW w:w="222" w:type="dxa"/>
            <w:vAlign w:val="center"/>
          </w:tcPr>
          <w:p w:rsidR="00ED6B2A" w:rsidRPr="00D07267" w:rsidRDefault="00ED6B2A" w:rsidP="00ED6B2A">
            <w:pPr>
              <w:spacing w:after="0" w:line="240" w:lineRule="auto"/>
              <w:rPr>
                <w:rFonts w:eastAsia="Times New Roman" w:cs="Arial"/>
                <w:sz w:val="20"/>
                <w:szCs w:val="20"/>
                <w:lang w:val="en-AU"/>
              </w:rPr>
            </w:pPr>
          </w:p>
        </w:tc>
      </w:tr>
      <w:tr w:rsidR="005509F4" w:rsidRPr="00D07267">
        <w:trPr>
          <w:trHeight w:val="240"/>
        </w:trPr>
        <w:tc>
          <w:tcPr>
            <w:tcW w:w="10165" w:type="dxa"/>
            <w:gridSpan w:val="6"/>
            <w:tcBorders>
              <w:top w:val="nil"/>
              <w:left w:val="nil"/>
              <w:bottom w:val="nil"/>
              <w:right w:val="nil"/>
            </w:tcBorders>
            <w:shd w:val="clear" w:color="auto" w:fill="auto"/>
            <w:noWrap/>
          </w:tcPr>
          <w:p w:rsidR="005509F4" w:rsidRPr="00D07267" w:rsidRDefault="005509F4" w:rsidP="00ED6B2A">
            <w:pPr>
              <w:spacing w:after="0" w:line="240" w:lineRule="auto"/>
              <w:rPr>
                <w:rFonts w:eastAsia="Times New Roman" w:cs="Arial"/>
                <w:b/>
                <w:bCs/>
                <w:sz w:val="18"/>
                <w:szCs w:val="18"/>
                <w:u w:val="single"/>
                <w:lang w:val="en-AU"/>
              </w:rPr>
            </w:pPr>
            <w:r w:rsidRPr="00D07267">
              <w:rPr>
                <w:rFonts w:eastAsia="Times New Roman" w:cs="Arial"/>
                <w:sz w:val="18"/>
                <w:szCs w:val="18"/>
                <w:lang w:val="en-AU"/>
              </w:rPr>
              <w:t>PSR did not have any other highly paid staff who received remuneration above $195,000 in 2014 (2013</w:t>
            </w:r>
            <w:proofErr w:type="gramStart"/>
            <w:r w:rsidRPr="00D07267">
              <w:rPr>
                <w:rFonts w:eastAsia="Times New Roman" w:cs="Arial"/>
                <w:sz w:val="18"/>
                <w:szCs w:val="18"/>
                <w:lang w:val="en-AU"/>
              </w:rPr>
              <w:t>:</w:t>
            </w:r>
            <w:r>
              <w:rPr>
                <w:rFonts w:eastAsia="Times New Roman" w:cs="Arial"/>
                <w:sz w:val="18"/>
                <w:szCs w:val="18"/>
                <w:lang w:val="en-AU"/>
              </w:rPr>
              <w:t>$</w:t>
            </w:r>
            <w:proofErr w:type="gramEnd"/>
            <w:r w:rsidRPr="00D07267">
              <w:rPr>
                <w:rFonts w:eastAsia="Times New Roman" w:cs="Arial"/>
                <w:sz w:val="18"/>
                <w:szCs w:val="18"/>
                <w:lang w:val="en-AU"/>
              </w:rPr>
              <w:t>0).</w:t>
            </w:r>
          </w:p>
        </w:tc>
        <w:tc>
          <w:tcPr>
            <w:tcW w:w="267" w:type="dxa"/>
            <w:tcBorders>
              <w:top w:val="nil"/>
              <w:left w:val="nil"/>
              <w:bottom w:val="nil"/>
              <w:right w:val="nil"/>
            </w:tcBorders>
            <w:shd w:val="clear" w:color="auto" w:fill="auto"/>
          </w:tcPr>
          <w:p w:rsidR="005509F4" w:rsidRPr="00D07267" w:rsidRDefault="005509F4" w:rsidP="00ED6B2A">
            <w:pPr>
              <w:spacing w:after="0" w:line="240" w:lineRule="auto"/>
              <w:rPr>
                <w:rFonts w:eastAsia="Times New Roman" w:cs="Arial"/>
                <w:b/>
                <w:bCs/>
                <w:sz w:val="18"/>
                <w:szCs w:val="18"/>
                <w:u w:val="single"/>
                <w:lang w:val="en-AU"/>
              </w:rPr>
            </w:pPr>
          </w:p>
        </w:tc>
        <w:tc>
          <w:tcPr>
            <w:tcW w:w="1375" w:type="dxa"/>
            <w:tcBorders>
              <w:top w:val="nil"/>
              <w:left w:val="nil"/>
              <w:bottom w:val="nil"/>
              <w:right w:val="nil"/>
            </w:tcBorders>
            <w:shd w:val="clear" w:color="auto" w:fill="auto"/>
          </w:tcPr>
          <w:p w:rsidR="005509F4" w:rsidRPr="00D07267" w:rsidRDefault="005509F4" w:rsidP="00ED6B2A">
            <w:pPr>
              <w:spacing w:after="0" w:line="240" w:lineRule="auto"/>
              <w:rPr>
                <w:rFonts w:eastAsia="Times New Roman" w:cs="Arial"/>
                <w:b/>
                <w:bCs/>
                <w:sz w:val="18"/>
                <w:szCs w:val="18"/>
                <w:u w:val="single"/>
                <w:lang w:val="en-AU"/>
              </w:rPr>
            </w:pPr>
          </w:p>
        </w:tc>
        <w:tc>
          <w:tcPr>
            <w:tcW w:w="267" w:type="dxa"/>
            <w:tcBorders>
              <w:top w:val="nil"/>
              <w:left w:val="nil"/>
              <w:bottom w:val="nil"/>
              <w:right w:val="nil"/>
            </w:tcBorders>
            <w:shd w:val="clear" w:color="auto" w:fill="auto"/>
          </w:tcPr>
          <w:p w:rsidR="005509F4" w:rsidRPr="00D07267" w:rsidRDefault="005509F4" w:rsidP="00ED6B2A">
            <w:pPr>
              <w:spacing w:after="0" w:line="240" w:lineRule="auto"/>
              <w:rPr>
                <w:rFonts w:eastAsia="Times New Roman" w:cs="Arial"/>
                <w:b/>
                <w:bCs/>
                <w:sz w:val="18"/>
                <w:szCs w:val="18"/>
                <w:u w:val="single"/>
                <w:lang w:val="en-AU"/>
              </w:rPr>
            </w:pPr>
          </w:p>
        </w:tc>
        <w:tc>
          <w:tcPr>
            <w:tcW w:w="1233" w:type="dxa"/>
            <w:tcBorders>
              <w:top w:val="nil"/>
              <w:left w:val="nil"/>
              <w:bottom w:val="nil"/>
              <w:right w:val="nil"/>
            </w:tcBorders>
            <w:shd w:val="clear" w:color="auto" w:fill="auto"/>
          </w:tcPr>
          <w:p w:rsidR="005509F4" w:rsidRPr="00D07267" w:rsidRDefault="005509F4" w:rsidP="00ED6B2A">
            <w:pPr>
              <w:spacing w:after="0" w:line="240" w:lineRule="auto"/>
              <w:rPr>
                <w:rFonts w:eastAsia="Times New Roman" w:cs="Arial"/>
                <w:b/>
                <w:bCs/>
                <w:sz w:val="18"/>
                <w:szCs w:val="18"/>
                <w:u w:val="single"/>
                <w:lang w:val="en-AU"/>
              </w:rPr>
            </w:pPr>
          </w:p>
        </w:tc>
        <w:tc>
          <w:tcPr>
            <w:tcW w:w="272" w:type="dxa"/>
            <w:tcBorders>
              <w:top w:val="nil"/>
              <w:left w:val="nil"/>
              <w:bottom w:val="nil"/>
              <w:right w:val="nil"/>
            </w:tcBorders>
            <w:shd w:val="clear" w:color="auto" w:fill="auto"/>
          </w:tcPr>
          <w:p w:rsidR="005509F4" w:rsidRPr="00D07267" w:rsidRDefault="005509F4" w:rsidP="00ED6B2A">
            <w:pPr>
              <w:spacing w:after="0" w:line="240" w:lineRule="auto"/>
              <w:rPr>
                <w:rFonts w:eastAsia="Times New Roman" w:cs="Arial"/>
                <w:b/>
                <w:bCs/>
                <w:sz w:val="18"/>
                <w:szCs w:val="18"/>
                <w:u w:val="single"/>
                <w:lang w:val="en-AU"/>
              </w:rPr>
            </w:pPr>
          </w:p>
        </w:tc>
        <w:tc>
          <w:tcPr>
            <w:tcW w:w="1154" w:type="dxa"/>
            <w:tcBorders>
              <w:top w:val="nil"/>
              <w:left w:val="nil"/>
              <w:bottom w:val="nil"/>
              <w:right w:val="nil"/>
            </w:tcBorders>
            <w:shd w:val="clear" w:color="auto" w:fill="auto"/>
          </w:tcPr>
          <w:p w:rsidR="005509F4" w:rsidRPr="00D07267" w:rsidRDefault="005509F4" w:rsidP="00ED6B2A">
            <w:pPr>
              <w:spacing w:after="0" w:line="240" w:lineRule="auto"/>
              <w:rPr>
                <w:rFonts w:eastAsia="Times New Roman" w:cs="Arial"/>
                <w:b/>
                <w:bCs/>
                <w:sz w:val="18"/>
                <w:szCs w:val="18"/>
                <w:u w:val="single"/>
                <w:lang w:val="en-AU"/>
              </w:rPr>
            </w:pPr>
          </w:p>
        </w:tc>
        <w:tc>
          <w:tcPr>
            <w:tcW w:w="222" w:type="dxa"/>
            <w:tcBorders>
              <w:top w:val="nil"/>
              <w:left w:val="nil"/>
              <w:bottom w:val="nil"/>
              <w:right w:val="nil"/>
            </w:tcBorders>
            <w:shd w:val="clear" w:color="auto" w:fill="auto"/>
          </w:tcPr>
          <w:p w:rsidR="005509F4" w:rsidRPr="00D07267" w:rsidRDefault="005509F4" w:rsidP="00ED6B2A">
            <w:pPr>
              <w:spacing w:after="0" w:line="240" w:lineRule="auto"/>
              <w:rPr>
                <w:rFonts w:eastAsia="Times New Roman" w:cs="Arial"/>
                <w:b/>
                <w:bCs/>
                <w:sz w:val="18"/>
                <w:szCs w:val="18"/>
                <w:u w:val="single"/>
                <w:lang w:val="en-AU"/>
              </w:rPr>
            </w:pPr>
          </w:p>
        </w:tc>
        <w:tc>
          <w:tcPr>
            <w:tcW w:w="1366" w:type="dxa"/>
            <w:tcBorders>
              <w:top w:val="nil"/>
              <w:left w:val="nil"/>
              <w:bottom w:val="nil"/>
              <w:right w:val="nil"/>
            </w:tcBorders>
            <w:shd w:val="clear" w:color="auto" w:fill="auto"/>
          </w:tcPr>
          <w:p w:rsidR="005509F4" w:rsidRPr="00D07267" w:rsidRDefault="005509F4" w:rsidP="00ED6B2A">
            <w:pPr>
              <w:spacing w:after="0" w:line="240" w:lineRule="auto"/>
              <w:rPr>
                <w:rFonts w:eastAsia="Times New Roman" w:cs="Arial"/>
                <w:b/>
                <w:bCs/>
                <w:sz w:val="18"/>
                <w:szCs w:val="18"/>
                <w:u w:val="single"/>
                <w:lang w:val="en-AU"/>
              </w:rPr>
            </w:pPr>
          </w:p>
        </w:tc>
        <w:tc>
          <w:tcPr>
            <w:tcW w:w="222" w:type="dxa"/>
            <w:vAlign w:val="center"/>
          </w:tcPr>
          <w:p w:rsidR="005509F4" w:rsidRPr="00D07267" w:rsidRDefault="005509F4" w:rsidP="00ED6B2A">
            <w:pPr>
              <w:spacing w:after="0" w:line="240" w:lineRule="auto"/>
              <w:rPr>
                <w:rFonts w:eastAsia="Times New Roman" w:cs="Arial"/>
                <w:sz w:val="20"/>
                <w:szCs w:val="20"/>
                <w:lang w:val="en-AU"/>
              </w:rPr>
            </w:pPr>
          </w:p>
        </w:tc>
        <w:tc>
          <w:tcPr>
            <w:tcW w:w="222" w:type="dxa"/>
            <w:vAlign w:val="center"/>
          </w:tcPr>
          <w:p w:rsidR="005509F4" w:rsidRPr="00D07267" w:rsidRDefault="005509F4" w:rsidP="00ED6B2A">
            <w:pPr>
              <w:spacing w:after="0" w:line="240" w:lineRule="auto"/>
              <w:rPr>
                <w:rFonts w:eastAsia="Times New Roman" w:cs="Arial"/>
                <w:sz w:val="20"/>
                <w:szCs w:val="20"/>
                <w:lang w:val="en-AU"/>
              </w:rPr>
            </w:pPr>
          </w:p>
        </w:tc>
        <w:tc>
          <w:tcPr>
            <w:tcW w:w="222" w:type="dxa"/>
            <w:vAlign w:val="center"/>
          </w:tcPr>
          <w:p w:rsidR="005509F4" w:rsidRPr="00D07267" w:rsidRDefault="005509F4" w:rsidP="00ED6B2A">
            <w:pPr>
              <w:spacing w:after="0" w:line="240" w:lineRule="auto"/>
              <w:rPr>
                <w:rFonts w:eastAsia="Times New Roman" w:cs="Arial"/>
                <w:sz w:val="20"/>
                <w:szCs w:val="20"/>
                <w:lang w:val="en-AU"/>
              </w:rPr>
            </w:pPr>
          </w:p>
        </w:tc>
        <w:tc>
          <w:tcPr>
            <w:tcW w:w="222" w:type="dxa"/>
            <w:vAlign w:val="center"/>
          </w:tcPr>
          <w:p w:rsidR="005509F4" w:rsidRPr="00D07267" w:rsidRDefault="005509F4" w:rsidP="00ED6B2A">
            <w:pPr>
              <w:spacing w:after="0" w:line="240" w:lineRule="auto"/>
              <w:rPr>
                <w:rFonts w:eastAsia="Times New Roman" w:cs="Arial"/>
                <w:sz w:val="20"/>
                <w:szCs w:val="20"/>
                <w:lang w:val="en-AU"/>
              </w:rPr>
            </w:pPr>
          </w:p>
        </w:tc>
        <w:tc>
          <w:tcPr>
            <w:tcW w:w="222" w:type="dxa"/>
            <w:vAlign w:val="center"/>
          </w:tcPr>
          <w:p w:rsidR="005509F4" w:rsidRPr="00D07267" w:rsidRDefault="005509F4" w:rsidP="00ED6B2A">
            <w:pPr>
              <w:spacing w:after="0" w:line="240" w:lineRule="auto"/>
              <w:rPr>
                <w:rFonts w:eastAsia="Times New Roman" w:cs="Arial"/>
                <w:sz w:val="20"/>
                <w:szCs w:val="20"/>
                <w:lang w:val="en-AU"/>
              </w:rPr>
            </w:pPr>
          </w:p>
        </w:tc>
        <w:tc>
          <w:tcPr>
            <w:tcW w:w="222" w:type="dxa"/>
            <w:vAlign w:val="center"/>
          </w:tcPr>
          <w:p w:rsidR="005509F4" w:rsidRPr="00D07267" w:rsidRDefault="005509F4" w:rsidP="00ED6B2A">
            <w:pPr>
              <w:spacing w:after="0" w:line="240" w:lineRule="auto"/>
              <w:rPr>
                <w:rFonts w:eastAsia="Times New Roman" w:cs="Arial"/>
                <w:sz w:val="20"/>
                <w:szCs w:val="20"/>
                <w:lang w:val="en-AU"/>
              </w:rPr>
            </w:pPr>
          </w:p>
        </w:tc>
        <w:tc>
          <w:tcPr>
            <w:tcW w:w="222" w:type="dxa"/>
            <w:vAlign w:val="center"/>
          </w:tcPr>
          <w:p w:rsidR="005509F4" w:rsidRPr="00D07267" w:rsidRDefault="005509F4" w:rsidP="00ED6B2A">
            <w:pPr>
              <w:spacing w:after="0" w:line="240" w:lineRule="auto"/>
              <w:rPr>
                <w:rFonts w:eastAsia="Times New Roman" w:cs="Arial"/>
                <w:sz w:val="20"/>
                <w:szCs w:val="20"/>
                <w:lang w:val="en-AU"/>
              </w:rPr>
            </w:pPr>
          </w:p>
        </w:tc>
        <w:tc>
          <w:tcPr>
            <w:tcW w:w="222" w:type="dxa"/>
            <w:vAlign w:val="center"/>
          </w:tcPr>
          <w:p w:rsidR="005509F4" w:rsidRPr="00D07267" w:rsidRDefault="005509F4" w:rsidP="00ED6B2A">
            <w:pPr>
              <w:spacing w:after="0" w:line="240" w:lineRule="auto"/>
              <w:rPr>
                <w:rFonts w:eastAsia="Times New Roman" w:cs="Arial"/>
                <w:sz w:val="20"/>
                <w:szCs w:val="20"/>
                <w:lang w:val="en-AU"/>
              </w:rPr>
            </w:pPr>
          </w:p>
        </w:tc>
      </w:tr>
    </w:tbl>
    <w:p w:rsidR="00ED6B2A" w:rsidRPr="00D07267" w:rsidRDefault="00ED6B2A">
      <w:pPr>
        <w:rPr>
          <w:rFonts w:cs="Arial"/>
        </w:rPr>
        <w:sectPr w:rsidR="00ED6B2A" w:rsidRPr="00D07267" w:rsidSect="001E2C73">
          <w:pgSz w:w="16838" w:h="11906" w:orient="landscape"/>
          <w:pgMar w:top="720" w:right="568" w:bottom="720" w:left="567" w:footer="284" w:gutter="0"/>
          <w:noEndnote/>
        </w:sectPr>
      </w:pPr>
    </w:p>
    <w:tbl>
      <w:tblPr>
        <w:tblW w:w="8424" w:type="dxa"/>
        <w:tblInd w:w="108" w:type="dxa"/>
        <w:tblLook w:val="04A0"/>
      </w:tblPr>
      <w:tblGrid>
        <w:gridCol w:w="5811"/>
        <w:gridCol w:w="1171"/>
        <w:gridCol w:w="271"/>
        <w:gridCol w:w="1171"/>
      </w:tblGrid>
      <w:tr w:rsidR="00EB5679" w:rsidRPr="00EB5679">
        <w:trPr>
          <w:trHeight w:val="360"/>
        </w:trPr>
        <w:tc>
          <w:tcPr>
            <w:tcW w:w="5856" w:type="dxa"/>
            <w:tcBorders>
              <w:top w:val="nil"/>
              <w:left w:val="nil"/>
              <w:right w:val="nil"/>
            </w:tcBorders>
            <w:shd w:val="clear" w:color="auto" w:fill="auto"/>
            <w:noWrap/>
            <w:vAlign w:val="center"/>
          </w:tcPr>
          <w:p w:rsidR="00EB5679" w:rsidRPr="00EB5679" w:rsidRDefault="00EB5679" w:rsidP="00D07267">
            <w:pPr>
              <w:rPr>
                <w:lang w:val="en-AU"/>
              </w:rPr>
            </w:pPr>
            <w:bookmarkStart w:id="359" w:name="RANGE!D1:G12"/>
            <w:r w:rsidRPr="00EB5679">
              <w:rPr>
                <w:lang w:val="en-AU"/>
              </w:rPr>
              <w:t>Notes to and forming part of the financial statements</w:t>
            </w:r>
            <w:bookmarkEnd w:id="359"/>
          </w:p>
        </w:tc>
        <w:tc>
          <w:tcPr>
            <w:tcW w:w="1176" w:type="dxa"/>
            <w:tcBorders>
              <w:top w:val="nil"/>
              <w:left w:val="nil"/>
              <w:right w:val="nil"/>
            </w:tcBorders>
            <w:shd w:val="clear" w:color="auto" w:fill="auto"/>
            <w:noWrap/>
            <w:vAlign w:val="center"/>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216" w:type="dxa"/>
            <w:tcBorders>
              <w:top w:val="nil"/>
              <w:left w:val="nil"/>
              <w:right w:val="nil"/>
            </w:tcBorders>
            <w:shd w:val="clear" w:color="auto" w:fill="auto"/>
            <w:noWrap/>
            <w:vAlign w:val="center"/>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176" w:type="dxa"/>
            <w:tcBorders>
              <w:top w:val="nil"/>
              <w:left w:val="nil"/>
              <w:right w:val="nil"/>
            </w:tcBorders>
            <w:shd w:val="clear" w:color="auto" w:fill="auto"/>
            <w:noWrap/>
            <w:vAlign w:val="center"/>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r>
      <w:tr w:rsidR="00EB5679" w:rsidRPr="00EB5679">
        <w:trPr>
          <w:trHeight w:val="300"/>
        </w:trPr>
        <w:tc>
          <w:tcPr>
            <w:tcW w:w="5856" w:type="dxa"/>
            <w:tcBorders>
              <w:top w:val="nil"/>
              <w:left w:val="nil"/>
              <w:bottom w:val="single" w:sz="4" w:space="0" w:color="auto"/>
              <w:right w:val="nil"/>
            </w:tcBorders>
            <w:shd w:val="clear" w:color="auto" w:fill="auto"/>
            <w:noWrap/>
          </w:tcPr>
          <w:p w:rsidR="00EB5679" w:rsidRPr="00EB5679" w:rsidRDefault="00EB5679" w:rsidP="005E4B5D">
            <w:pPr>
              <w:pStyle w:val="Financialsnotehead"/>
            </w:pPr>
            <w:r w:rsidRPr="00EB5679">
              <w:t>Note 13: Remuneration of Auditors</w:t>
            </w:r>
          </w:p>
        </w:tc>
        <w:tc>
          <w:tcPr>
            <w:tcW w:w="1176" w:type="dxa"/>
            <w:tcBorders>
              <w:top w:val="nil"/>
              <w:left w:val="nil"/>
              <w:bottom w:val="single" w:sz="4" w:space="0" w:color="auto"/>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216" w:type="dxa"/>
            <w:tcBorders>
              <w:top w:val="nil"/>
              <w:left w:val="nil"/>
              <w:bottom w:val="single" w:sz="4" w:space="0" w:color="auto"/>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EB5679" w:rsidRDefault="00EB5679" w:rsidP="00EB5679">
            <w:pPr>
              <w:spacing w:after="0" w:line="240" w:lineRule="auto"/>
              <w:rPr>
                <w:rFonts w:ascii="Times New Roman" w:eastAsia="Times New Roman" w:hAnsi="Times New Roman" w:cs="Times New Roman"/>
                <w:b/>
                <w:bCs/>
                <w:color w:val="FFFFFF"/>
                <w:szCs w:val="22"/>
                <w:lang w:val="en-AU"/>
              </w:rPr>
            </w:pPr>
            <w:r w:rsidRPr="00EB5679">
              <w:rPr>
                <w:rFonts w:ascii="Times New Roman" w:eastAsia="Times New Roman" w:hAnsi="Times New Roman" w:cs="Times New Roman"/>
                <w:b/>
                <w:bCs/>
                <w:color w:val="FFFFFF"/>
                <w:szCs w:val="22"/>
                <w:lang w:val="en-AU"/>
              </w:rPr>
              <w:t> </w:t>
            </w:r>
          </w:p>
        </w:tc>
      </w:tr>
      <w:tr w:rsidR="00EB5679" w:rsidRPr="005E4B5D">
        <w:trPr>
          <w:trHeight w:val="240"/>
        </w:trPr>
        <w:tc>
          <w:tcPr>
            <w:tcW w:w="585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1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585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bookmarkStart w:id="360" w:name="RANGE!D4"/>
            <w:bookmarkEnd w:id="360"/>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2014 </w:t>
            </w:r>
          </w:p>
        </w:tc>
        <w:tc>
          <w:tcPr>
            <w:tcW w:w="21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2013 </w:t>
            </w:r>
          </w:p>
        </w:tc>
      </w:tr>
      <w:tr w:rsidR="00EB5679" w:rsidRPr="005E4B5D">
        <w:trPr>
          <w:trHeight w:val="240"/>
        </w:trPr>
        <w:tc>
          <w:tcPr>
            <w:tcW w:w="5856" w:type="dxa"/>
            <w:tcBorders>
              <w:top w:val="nil"/>
              <w:left w:val="nil"/>
              <w:bottom w:val="single" w:sz="4" w:space="0" w:color="auto"/>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1176" w:type="dxa"/>
            <w:tcBorders>
              <w:top w:val="nil"/>
              <w:left w:val="nil"/>
              <w:bottom w:val="single" w:sz="4" w:space="0" w:color="auto"/>
              <w:right w:val="nil"/>
            </w:tcBorders>
            <w:shd w:val="clear" w:color="auto" w:fill="auto"/>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216" w:type="dxa"/>
            <w:tcBorders>
              <w:top w:val="nil"/>
              <w:left w:val="nil"/>
              <w:bottom w:val="single" w:sz="4" w:space="0" w:color="auto"/>
              <w:right w:val="nil"/>
            </w:tcBorders>
            <w:shd w:val="clear" w:color="auto" w:fill="auto"/>
          </w:tcPr>
          <w:p w:rsidR="00EB5679" w:rsidRPr="005E4B5D"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single" w:sz="4" w:space="0" w:color="auto"/>
              <w:right w:val="nil"/>
            </w:tcBorders>
            <w:shd w:val="clear" w:color="auto" w:fill="auto"/>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r>
      <w:tr w:rsidR="00EB5679" w:rsidRPr="005E4B5D">
        <w:trPr>
          <w:trHeight w:val="480"/>
        </w:trPr>
        <w:tc>
          <w:tcPr>
            <w:tcW w:w="5856" w:type="dxa"/>
            <w:tcBorders>
              <w:top w:val="single" w:sz="4" w:space="0" w:color="auto"/>
              <w:left w:val="nil"/>
              <w:bottom w:val="nil"/>
              <w:right w:val="nil"/>
            </w:tcBorders>
            <w:shd w:val="clear" w:color="auto" w:fill="auto"/>
          </w:tcPr>
          <w:p w:rsidR="005509F4" w:rsidRDefault="005509F4" w:rsidP="00EB5679">
            <w:pPr>
              <w:spacing w:after="0" w:line="240" w:lineRule="auto"/>
              <w:rPr>
                <w:rFonts w:eastAsia="Times New Roman" w:cs="Arial"/>
                <w:sz w:val="18"/>
                <w:szCs w:val="18"/>
                <w:lang w:val="en-AU"/>
              </w:rPr>
            </w:pPr>
          </w:p>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Financial statement audit services were provided free of charge to the entity by the Australian National Audit Office (ANAO).</w:t>
            </w:r>
          </w:p>
        </w:tc>
        <w:tc>
          <w:tcPr>
            <w:tcW w:w="1176" w:type="dxa"/>
            <w:tcBorders>
              <w:top w:val="single" w:sz="4" w:space="0" w:color="auto"/>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216" w:type="dxa"/>
            <w:tcBorders>
              <w:top w:val="single" w:sz="4" w:space="0" w:color="auto"/>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r>
      <w:tr w:rsidR="00EB5679" w:rsidRPr="005E4B5D">
        <w:trPr>
          <w:trHeight w:val="240"/>
        </w:trPr>
        <w:tc>
          <w:tcPr>
            <w:tcW w:w="585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21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r>
      <w:tr w:rsidR="00EB5679" w:rsidRPr="005E4B5D">
        <w:trPr>
          <w:trHeight w:val="240"/>
        </w:trPr>
        <w:tc>
          <w:tcPr>
            <w:tcW w:w="585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The fair value of the services provided was:</w:t>
            </w: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5856" w:type="dxa"/>
            <w:tcBorders>
              <w:top w:val="nil"/>
              <w:left w:val="nil"/>
              <w:bottom w:val="nil"/>
              <w:right w:val="nil"/>
            </w:tcBorders>
            <w:shd w:val="clear" w:color="auto" w:fill="auto"/>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Financial statement audit services</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30,000 </w:t>
            </w:r>
          </w:p>
        </w:tc>
        <w:tc>
          <w:tcPr>
            <w:tcW w:w="216"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20"/>
                <w:szCs w:val="20"/>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15,850 </w:t>
            </w:r>
          </w:p>
        </w:tc>
      </w:tr>
      <w:tr w:rsidR="00EB5679" w:rsidRPr="005E4B5D">
        <w:trPr>
          <w:trHeight w:val="240"/>
        </w:trPr>
        <w:tc>
          <w:tcPr>
            <w:tcW w:w="585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30,000 </w:t>
            </w:r>
          </w:p>
        </w:tc>
        <w:tc>
          <w:tcPr>
            <w:tcW w:w="216"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20"/>
                <w:szCs w:val="20"/>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15,850 </w:t>
            </w:r>
          </w:p>
        </w:tc>
      </w:tr>
      <w:tr w:rsidR="00EB5679" w:rsidRPr="005E4B5D">
        <w:trPr>
          <w:trHeight w:val="240"/>
        </w:trPr>
        <w:tc>
          <w:tcPr>
            <w:tcW w:w="585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16"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240"/>
        </w:trPr>
        <w:tc>
          <w:tcPr>
            <w:tcW w:w="8424" w:type="dxa"/>
            <w:gridSpan w:val="4"/>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roofErr w:type="gramStart"/>
            <w:r w:rsidRPr="005E4B5D">
              <w:rPr>
                <w:rFonts w:eastAsia="Times New Roman" w:cs="Arial"/>
                <w:sz w:val="18"/>
                <w:szCs w:val="18"/>
                <w:lang w:val="en-AU"/>
              </w:rPr>
              <w:t>No other services were provided by the auditors of the financial statements</w:t>
            </w:r>
            <w:proofErr w:type="gramEnd"/>
            <w:r w:rsidRPr="005E4B5D">
              <w:rPr>
                <w:rFonts w:eastAsia="Times New Roman" w:cs="Arial"/>
                <w:sz w:val="18"/>
                <w:szCs w:val="18"/>
                <w:lang w:val="en-AU"/>
              </w:rPr>
              <w:t>.</w:t>
            </w:r>
          </w:p>
        </w:tc>
      </w:tr>
      <w:tr w:rsidR="00EB5679" w:rsidRPr="005E4B5D">
        <w:trPr>
          <w:trHeight w:val="240"/>
        </w:trPr>
        <w:tc>
          <w:tcPr>
            <w:tcW w:w="585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21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r>
    </w:tbl>
    <w:p w:rsidR="00EB5679" w:rsidRPr="005E4B5D" w:rsidRDefault="00EB5679">
      <w:pPr>
        <w:rPr>
          <w:rFonts w:cs="Arial"/>
        </w:rPr>
        <w:sectPr w:rsidR="00EB5679" w:rsidRPr="005E4B5D" w:rsidSect="001E2C73">
          <w:pgSz w:w="11906" w:h="16838"/>
          <w:pgMar w:top="568" w:right="720" w:bottom="567" w:left="720" w:footer="284" w:gutter="0"/>
          <w:noEndnote/>
        </w:sectPr>
      </w:pPr>
    </w:p>
    <w:tbl>
      <w:tblPr>
        <w:tblW w:w="13730" w:type="dxa"/>
        <w:tblInd w:w="108" w:type="dxa"/>
        <w:tblLook w:val="04A0"/>
      </w:tblPr>
      <w:tblGrid>
        <w:gridCol w:w="6396"/>
        <w:gridCol w:w="1176"/>
        <w:gridCol w:w="278"/>
        <w:gridCol w:w="1176"/>
        <w:gridCol w:w="1176"/>
        <w:gridCol w:w="1176"/>
        <w:gridCol w:w="1176"/>
        <w:gridCol w:w="1176"/>
      </w:tblGrid>
      <w:tr w:rsidR="00EB5679" w:rsidRPr="005E4B5D">
        <w:trPr>
          <w:trHeight w:val="360"/>
        </w:trPr>
        <w:tc>
          <w:tcPr>
            <w:tcW w:w="6396" w:type="dxa"/>
            <w:tcBorders>
              <w:top w:val="nil"/>
              <w:left w:val="nil"/>
              <w:right w:val="nil"/>
            </w:tcBorders>
            <w:shd w:val="clear" w:color="auto" w:fill="auto"/>
            <w:noWrap/>
            <w:vAlign w:val="center"/>
          </w:tcPr>
          <w:p w:rsidR="00EB5679" w:rsidRPr="005E4B5D" w:rsidRDefault="00EB5679" w:rsidP="005E4B5D">
            <w:pPr>
              <w:rPr>
                <w:lang w:val="en-AU"/>
              </w:rPr>
            </w:pPr>
            <w:bookmarkStart w:id="361" w:name="RANGE!D1:K76"/>
            <w:r w:rsidRPr="005E4B5D">
              <w:rPr>
                <w:lang w:val="en-AU"/>
              </w:rPr>
              <w:t>Notes to and forming part of the financial statements</w:t>
            </w:r>
            <w:bookmarkEnd w:id="361"/>
          </w:p>
        </w:tc>
        <w:tc>
          <w:tcPr>
            <w:tcW w:w="1176"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278"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r>
      <w:tr w:rsidR="00EB5679" w:rsidRPr="005E4B5D">
        <w:trPr>
          <w:trHeight w:val="260"/>
        </w:trPr>
        <w:tc>
          <w:tcPr>
            <w:tcW w:w="6396" w:type="dxa"/>
            <w:tcBorders>
              <w:top w:val="nil"/>
              <w:left w:val="nil"/>
              <w:bottom w:val="single" w:sz="4" w:space="0" w:color="auto"/>
              <w:right w:val="nil"/>
            </w:tcBorders>
            <w:shd w:val="clear" w:color="auto" w:fill="auto"/>
            <w:noWrap/>
          </w:tcPr>
          <w:p w:rsidR="00EB5679" w:rsidRPr="005E4B5D" w:rsidRDefault="00EB5679" w:rsidP="005E4B5D">
            <w:pPr>
              <w:pStyle w:val="Financialsnotehead"/>
            </w:pPr>
            <w:r w:rsidRPr="005E4B5D">
              <w:t>Note 14: Financial Instruments</w:t>
            </w:r>
          </w:p>
        </w:tc>
        <w:tc>
          <w:tcPr>
            <w:tcW w:w="1176"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278"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r>
      <w:tr w:rsidR="00EB5679" w:rsidRPr="005E4B5D">
        <w:trPr>
          <w:trHeight w:val="220"/>
        </w:trPr>
        <w:tc>
          <w:tcPr>
            <w:tcW w:w="639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r w:rsidRPr="005E4B5D">
              <w:rPr>
                <w:rFonts w:eastAsia="Times New Roman" w:cs="Arial"/>
                <w:noProof/>
                <w:sz w:val="20"/>
                <w:szCs w:val="20"/>
              </w:rPr>
              <w:drawing>
                <wp:inline distT="0" distB="0" distL="0" distR="0">
                  <wp:extent cx="3827780" cy="10795"/>
                  <wp:effectExtent l="0" t="0" r="0" b="0"/>
                  <wp:docPr id="11" name="Picture 1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
                          <pic:cNvPicPr>
                            <a:picLocks noChangeAspect="1" noChangeArrowheads="1"/>
                          </pic:cNvPicPr>
                        </pic:nvPicPr>
                        <pic:blipFill>
                          <a:blip r:embed="rId1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27780" cy="10795"/>
                          </a:xfrm>
                          <a:prstGeom prst="rect">
                            <a:avLst/>
                          </a:prstGeom>
                          <a:noFill/>
                          <a:ln>
                            <a:noFill/>
                          </a:ln>
                        </pic:spPr>
                      </pic:pic>
                    </a:graphicData>
                  </a:graphic>
                </wp:inline>
              </w:drawing>
            </w:r>
            <w:r w:rsidRPr="005E4B5D">
              <w:rPr>
                <w:rFonts w:eastAsia="Times New Roman" w:cs="Arial"/>
                <w:noProof/>
                <w:sz w:val="20"/>
                <w:szCs w:val="20"/>
              </w:rPr>
              <w:drawing>
                <wp:inline distT="0" distB="0" distL="0" distR="0">
                  <wp:extent cx="10795" cy="10795"/>
                  <wp:effectExtent l="0" t="0" r="0" b="0"/>
                  <wp:docPr id="12" name="Picture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cNvPicPr>
                            <a:picLocks noChangeAspect="1" noChangeArrowheads="1"/>
                          </pic:cNvPicPr>
                        </pic:nvPicPr>
                        <pic:blipFill>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5E4B5D">
              <w:rPr>
                <w:rFonts w:eastAsia="Times New Roman" w:cs="Arial"/>
                <w:noProof/>
                <w:sz w:val="20"/>
                <w:szCs w:val="20"/>
              </w:rPr>
              <w:drawing>
                <wp:inline distT="0" distB="0" distL="0" distR="0">
                  <wp:extent cx="10795" cy="10795"/>
                  <wp:effectExtent l="0" t="0" r="0" b="0"/>
                  <wp:docPr id="13" name="Picture 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
                          <pic:cNvPicPr>
                            <a:picLocks noChangeAspect="1" noChangeArrowheads="1"/>
                          </pic:cNvPicPr>
                        </pic:nvPicPr>
                        <pic:blipFill>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5E4B5D">
              <w:rPr>
                <w:rFonts w:eastAsia="Times New Roman" w:cs="Arial"/>
                <w:noProof/>
                <w:sz w:val="20"/>
                <w:szCs w:val="20"/>
              </w:rPr>
              <w:drawing>
                <wp:inline distT="0" distB="0" distL="0" distR="0">
                  <wp:extent cx="10795" cy="10795"/>
                  <wp:effectExtent l="0" t="0" r="0" b="0"/>
                  <wp:docPr id="14" name="Picture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cNvPicPr>
                            <a:picLocks noChangeAspect="1" noChangeArrowheads="1"/>
                          </pic:cNvPicPr>
                        </pic:nvPicPr>
                        <pic:blipFill>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5E4B5D">
              <w:rPr>
                <w:rFonts w:eastAsia="Times New Roman" w:cs="Arial"/>
                <w:noProof/>
                <w:sz w:val="20"/>
                <w:szCs w:val="20"/>
              </w:rPr>
              <w:drawing>
                <wp:inline distT="0" distB="0" distL="0" distR="0">
                  <wp:extent cx="10795" cy="10795"/>
                  <wp:effectExtent l="0" t="0" r="0" b="0"/>
                  <wp:docPr id="15"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5E4B5D">
              <w:rPr>
                <w:rFonts w:eastAsia="Times New Roman" w:cs="Arial"/>
                <w:noProof/>
                <w:sz w:val="20"/>
                <w:szCs w:val="20"/>
              </w:rPr>
              <w:drawing>
                <wp:inline distT="0" distB="0" distL="0" distR="0">
                  <wp:extent cx="10795" cy="10795"/>
                  <wp:effectExtent l="0" t="0" r="0" b="0"/>
                  <wp:docPr id="16" name="Picture 1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cNvPicPr>
                            <a:picLocks noChangeAspect="1" noChangeArrowheads="1"/>
                          </pic:cNvPicPr>
                        </pic:nvPicPr>
                        <pic:blipFill>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5E4B5D">
              <w:rPr>
                <w:rFonts w:eastAsia="Times New Roman" w:cs="Arial"/>
                <w:noProof/>
                <w:sz w:val="20"/>
                <w:szCs w:val="20"/>
              </w:rPr>
              <w:drawing>
                <wp:inline distT="0" distB="0" distL="0" distR="0">
                  <wp:extent cx="10795" cy="10795"/>
                  <wp:effectExtent l="0" t="0" r="0" b="0"/>
                  <wp:docPr id="17" name="Picture 17" descr="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B"/>
                          <pic:cNvPicPr>
                            <a:picLocks noChangeAspect="1" noChangeArrowheads="1"/>
                          </pic:cNvPicPr>
                        </pic:nvPicPr>
                        <pic:blipFill>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5E4B5D">
              <w:rPr>
                <w:rFonts w:eastAsia="Times New Roman" w:cs="Arial"/>
                <w:noProof/>
                <w:sz w:val="20"/>
                <w:szCs w:val="20"/>
              </w:rPr>
              <w:drawing>
                <wp:inline distT="0" distB="0" distL="0" distR="0">
                  <wp:extent cx="10795" cy="10795"/>
                  <wp:effectExtent l="0" t="0" r="0" b="0"/>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p>
          <w:tbl>
            <w:tblPr>
              <w:tblW w:w="0" w:type="auto"/>
              <w:tblCellSpacing w:w="0" w:type="dxa"/>
              <w:tblCellMar>
                <w:left w:w="0" w:type="dxa"/>
                <w:right w:w="0" w:type="dxa"/>
              </w:tblCellMar>
              <w:tblLook w:val="04A0"/>
            </w:tblPr>
            <w:tblGrid>
              <w:gridCol w:w="6180"/>
            </w:tblGrid>
            <w:tr w:rsidR="00EB5679" w:rsidRPr="005E4B5D">
              <w:trPr>
                <w:trHeight w:val="220"/>
                <w:tblCellSpacing w:w="0" w:type="dxa"/>
              </w:trPr>
              <w:tc>
                <w:tcPr>
                  <w:tcW w:w="6180"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bl>
          <w:p w:rsidR="00EB5679" w:rsidRPr="005E4B5D" w:rsidRDefault="00EB5679" w:rsidP="00EB5679">
            <w:pPr>
              <w:spacing w:after="0" w:line="240" w:lineRule="auto"/>
              <w:rPr>
                <w:rFonts w:eastAsia="Times New Roman" w:cs="Arial"/>
                <w:sz w:val="20"/>
                <w:szCs w:val="20"/>
                <w:lang w:val="en-AU"/>
              </w:rPr>
            </w:pPr>
          </w:p>
        </w:tc>
        <w:tc>
          <w:tcPr>
            <w:tcW w:w="117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2014 </w:t>
            </w: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2013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27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single" w:sz="4" w:space="0" w:color="auto"/>
              <w:left w:val="nil"/>
              <w:bottom w:val="nil"/>
              <w:right w:val="nil"/>
            </w:tcBorders>
            <w:shd w:val="clear" w:color="auto" w:fill="auto"/>
            <w:noWrap/>
            <w:vAlign w:val="bottom"/>
          </w:tcPr>
          <w:p w:rsidR="005509F4" w:rsidRDefault="005509F4" w:rsidP="00EB5679">
            <w:pPr>
              <w:spacing w:after="0" w:line="240" w:lineRule="auto"/>
              <w:rPr>
                <w:rFonts w:eastAsia="Times New Roman" w:cs="Arial"/>
                <w:b/>
                <w:bCs/>
                <w:sz w:val="18"/>
                <w:szCs w:val="18"/>
                <w:u w:val="single"/>
                <w:lang w:val="en-AU"/>
              </w:rPr>
            </w:pPr>
          </w:p>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Note 14A: Categories of Financial Instruments</w:t>
            </w:r>
          </w:p>
        </w:tc>
        <w:tc>
          <w:tcPr>
            <w:tcW w:w="1176"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Financial Assets</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Loans and receivables</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center"/>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Cash and cash equivalents</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78,925 </w:t>
            </w: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96,226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center"/>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Goods and services receivable</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10,691 </w:t>
            </w:r>
          </w:p>
        </w:tc>
        <w:tc>
          <w:tcPr>
            <w:tcW w:w="27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20"/>
                <w:szCs w:val="20"/>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6,135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Total</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89,616 </w:t>
            </w: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102,361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Carrying amount of financial assets</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89,616 </w:t>
            </w: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102,361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Financial Liabilities</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Financial liabilities measured at amortised cost</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center"/>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Payables - suppliers</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244,717 </w:t>
            </w:r>
          </w:p>
        </w:tc>
        <w:tc>
          <w:tcPr>
            <w:tcW w:w="27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20"/>
                <w:szCs w:val="20"/>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402,214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Total</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244,717 </w:t>
            </w: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402,214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Note 14B: Fair Value of Financial Instruments</w:t>
            </w: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color w:val="DD0806"/>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360"/>
        </w:trPr>
        <w:tc>
          <w:tcPr>
            <w:tcW w:w="11378" w:type="dxa"/>
            <w:gridSpan w:val="6"/>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PSR does not carry any financial instruments at fair value.</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3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Note 14C: Credit Risk</w:t>
            </w: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600"/>
        </w:trPr>
        <w:tc>
          <w:tcPr>
            <w:tcW w:w="13730" w:type="dxa"/>
            <w:gridSpan w:val="8"/>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PSR was exposed to minimal credit risk as loans and receivables were cash and trade receivables. The maximum exposure to credit risk was the risk that arises from potential default of a debtor. This amount was equal to the total amount of trade receivables (2014: $10,691 and 2013: $6,135).</w:t>
            </w:r>
          </w:p>
        </w:tc>
      </w:tr>
      <w:tr w:rsidR="00EB5679" w:rsidRPr="005E4B5D">
        <w:trPr>
          <w:trHeight w:val="780"/>
        </w:trPr>
        <w:tc>
          <w:tcPr>
            <w:tcW w:w="13730" w:type="dxa"/>
            <w:gridSpan w:val="8"/>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xml:space="preserve">PSR had assessed the risk of the default on payment and had allocated $0 in 2014 (2013: $43,885) to an impairment allowance account. PSR managed its credit risk by undertaking background and credit checks prior to allowing a debtor relationship. In addition, PSR had policies and procedures that guided </w:t>
            </w:r>
            <w:proofErr w:type="gramStart"/>
            <w:r w:rsidRPr="005E4B5D">
              <w:rPr>
                <w:rFonts w:eastAsia="Times New Roman" w:cs="Arial"/>
                <w:sz w:val="18"/>
                <w:szCs w:val="18"/>
                <w:lang w:val="en-AU"/>
              </w:rPr>
              <w:t>employees</w:t>
            </w:r>
            <w:proofErr w:type="gramEnd"/>
            <w:r w:rsidRPr="005E4B5D">
              <w:rPr>
                <w:rFonts w:eastAsia="Times New Roman" w:cs="Arial"/>
                <w:sz w:val="18"/>
                <w:szCs w:val="18"/>
                <w:lang w:val="en-AU"/>
              </w:rPr>
              <w:t xml:space="preserve"> debt recovery techniques that were to be applied.</w:t>
            </w:r>
          </w:p>
        </w:tc>
      </w:tr>
      <w:tr w:rsidR="00EB5679" w:rsidRPr="005E4B5D">
        <w:trPr>
          <w:trHeight w:val="38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xml:space="preserve">PSR held no collateral to </w:t>
            </w:r>
            <w:proofErr w:type="gramStart"/>
            <w:r w:rsidRPr="005E4B5D">
              <w:rPr>
                <w:rFonts w:eastAsia="Times New Roman" w:cs="Arial"/>
                <w:sz w:val="18"/>
                <w:szCs w:val="18"/>
                <w:lang w:val="en-AU"/>
              </w:rPr>
              <w:t>mitigate</w:t>
            </w:r>
            <w:proofErr w:type="gramEnd"/>
            <w:r w:rsidRPr="005E4B5D">
              <w:rPr>
                <w:rFonts w:eastAsia="Times New Roman" w:cs="Arial"/>
                <w:sz w:val="18"/>
                <w:szCs w:val="18"/>
                <w:lang w:val="en-AU"/>
              </w:rPr>
              <w:t xml:space="preserve"> against credit risk.</w:t>
            </w: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r w:rsidR="005E4B5D" w:rsidRPr="005E4B5D">
        <w:trPr>
          <w:trHeight w:val="400"/>
        </w:trPr>
        <w:tc>
          <w:tcPr>
            <w:tcW w:w="9026" w:type="dxa"/>
            <w:gridSpan w:val="4"/>
            <w:tcBorders>
              <w:top w:val="nil"/>
              <w:left w:val="nil"/>
              <w:bottom w:val="single" w:sz="4" w:space="0" w:color="auto"/>
              <w:right w:val="nil"/>
            </w:tcBorders>
            <w:shd w:val="clear" w:color="auto" w:fill="auto"/>
            <w:noWrap/>
            <w:vAlign w:val="bottom"/>
          </w:tcPr>
          <w:p w:rsidR="005E4B5D" w:rsidRPr="005E4B5D" w:rsidRDefault="005E4B5D"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Credit quality of financial instruments not past due or individually determined as impaired</w:t>
            </w:r>
          </w:p>
          <w:p w:rsidR="005E4B5D" w:rsidRPr="005E4B5D" w:rsidRDefault="005E4B5D" w:rsidP="00EB5679">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noWrap/>
            <w:vAlign w:val="bottom"/>
          </w:tcPr>
          <w:p w:rsidR="005E4B5D" w:rsidRPr="005E4B5D" w:rsidRDefault="005E4B5D"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5E4B5D" w:rsidRPr="005E4B5D" w:rsidRDefault="005E4B5D"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nil"/>
              <w:right w:val="nil"/>
            </w:tcBorders>
            <w:shd w:val="clear" w:color="auto" w:fill="auto"/>
            <w:noWrap/>
            <w:vAlign w:val="bottom"/>
          </w:tcPr>
          <w:p w:rsidR="005E4B5D" w:rsidRPr="005E4B5D" w:rsidRDefault="005E4B5D"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5E4B5D" w:rsidRPr="005E4B5D" w:rsidRDefault="005E4B5D" w:rsidP="00EB5679">
            <w:pPr>
              <w:spacing w:after="0" w:line="240" w:lineRule="auto"/>
              <w:rPr>
                <w:rFonts w:eastAsia="Times New Roman" w:cs="Arial"/>
                <w:sz w:val="18"/>
                <w:szCs w:val="18"/>
                <w:lang w:val="en-AU"/>
              </w:rPr>
            </w:pPr>
          </w:p>
        </w:tc>
      </w:tr>
      <w:tr w:rsidR="00EB5679" w:rsidRPr="005E4B5D">
        <w:trPr>
          <w:trHeight w:val="660"/>
        </w:trPr>
        <w:tc>
          <w:tcPr>
            <w:tcW w:w="6396"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single" w:sz="4" w:space="0" w:color="auto"/>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Not past due nor impaired</w:t>
            </w:r>
          </w:p>
        </w:tc>
        <w:tc>
          <w:tcPr>
            <w:tcW w:w="1454" w:type="dxa"/>
            <w:gridSpan w:val="2"/>
            <w:tcBorders>
              <w:top w:val="single" w:sz="4" w:space="0" w:color="auto"/>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Not past due nor impaired</w:t>
            </w:r>
          </w:p>
        </w:tc>
        <w:tc>
          <w:tcPr>
            <w:tcW w:w="1176" w:type="dxa"/>
            <w:tcBorders>
              <w:top w:val="single" w:sz="4" w:space="0" w:color="auto"/>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Past due or impaired</w:t>
            </w:r>
          </w:p>
        </w:tc>
        <w:tc>
          <w:tcPr>
            <w:tcW w:w="1176" w:type="dxa"/>
            <w:tcBorders>
              <w:top w:val="single" w:sz="4" w:space="0" w:color="auto"/>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Past due or impaired</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2014 </w:t>
            </w: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2013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2014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2013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454" w:type="dxa"/>
            <w:gridSpan w:val="2"/>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center"/>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Cash and cash equivalents</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78,925 </w:t>
            </w:r>
          </w:p>
        </w:tc>
        <w:tc>
          <w:tcPr>
            <w:tcW w:w="278"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96,226 </w:t>
            </w: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Goods and services receivable</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10,691 </w:t>
            </w: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1,135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Total</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89,616 </w:t>
            </w:r>
          </w:p>
        </w:tc>
        <w:tc>
          <w:tcPr>
            <w:tcW w:w="278"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97,361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bl>
    <w:p w:rsidR="005E4B5D" w:rsidRDefault="005E4B5D">
      <w:r>
        <w:br w:type="page"/>
      </w:r>
    </w:p>
    <w:tbl>
      <w:tblPr>
        <w:tblW w:w="13730" w:type="dxa"/>
        <w:tblInd w:w="108" w:type="dxa"/>
        <w:tblLook w:val="04A0"/>
      </w:tblPr>
      <w:tblGrid>
        <w:gridCol w:w="6396"/>
        <w:gridCol w:w="1176"/>
        <w:gridCol w:w="278"/>
        <w:gridCol w:w="1176"/>
        <w:gridCol w:w="1176"/>
        <w:gridCol w:w="1176"/>
        <w:gridCol w:w="1176"/>
        <w:gridCol w:w="1176"/>
      </w:tblGrid>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Ageing of financial assets that were past due but not impaired for 2014</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0 to 30 </w:t>
            </w:r>
          </w:p>
        </w:tc>
        <w:tc>
          <w:tcPr>
            <w:tcW w:w="1454" w:type="dxa"/>
            <w:gridSpan w:val="2"/>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31 to 60</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61 to 90</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90+</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days</w:t>
            </w:r>
            <w:proofErr w:type="gramEnd"/>
          </w:p>
        </w:tc>
        <w:tc>
          <w:tcPr>
            <w:tcW w:w="1454" w:type="dxa"/>
            <w:gridSpan w:val="2"/>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days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days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days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Total</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454" w:type="dxa"/>
            <w:gridSpan w:val="2"/>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Goods and services receivable</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27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single" w:sz="4" w:space="0" w:color="auto"/>
              <w:left w:val="nil"/>
              <w:bottom w:val="single" w:sz="4" w:space="0" w:color="auto"/>
              <w:right w:val="nil"/>
            </w:tcBorders>
            <w:shd w:val="clear" w:color="auto" w:fill="auto"/>
            <w:noWrap/>
            <w:vAlign w:val="center"/>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Total</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278"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12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Ageing of financial assets that were past due but not impaired for 2013</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0 to 30 </w:t>
            </w:r>
          </w:p>
        </w:tc>
        <w:tc>
          <w:tcPr>
            <w:tcW w:w="1454" w:type="dxa"/>
            <w:gridSpan w:val="2"/>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31 to 60</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61 to 90</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90+</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days</w:t>
            </w:r>
            <w:proofErr w:type="gramEnd"/>
          </w:p>
        </w:tc>
        <w:tc>
          <w:tcPr>
            <w:tcW w:w="1454" w:type="dxa"/>
            <w:gridSpan w:val="2"/>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days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days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days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Total</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454" w:type="dxa"/>
            <w:gridSpan w:val="2"/>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Goods and services receivable</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27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5,000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5,000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single" w:sz="4" w:space="0" w:color="auto"/>
              <w:left w:val="nil"/>
              <w:bottom w:val="single" w:sz="4" w:space="0" w:color="auto"/>
              <w:right w:val="nil"/>
            </w:tcBorders>
            <w:shd w:val="clear" w:color="auto" w:fill="auto"/>
            <w:noWrap/>
            <w:vAlign w:val="center"/>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Total</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278"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5,000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5,000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Note 14D: Liquidity Risk</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740"/>
        </w:trPr>
        <w:tc>
          <w:tcPr>
            <w:tcW w:w="13730" w:type="dxa"/>
            <w:gridSpan w:val="8"/>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PSR's financial liabilities are limited to payables.  The exposure to liquidity risk is based on the notion that PSR will encounter difficulty in meeting its obligations associated with financial liabilities.  This is highly unlikely due to appropriation funding and mechanisms available to PSR (e.g. Advance to the Finance Minister) and internal policies and procedures that have been established to ensure there are appropriate resources to meet its financial obligations.</w:t>
            </w:r>
          </w:p>
        </w:tc>
      </w:tr>
      <w:tr w:rsidR="00EB5679" w:rsidRPr="005E4B5D">
        <w:trPr>
          <w:trHeight w:val="1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Maturities for non-derivative financial liabilities 2014</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27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r>
      <w:tr w:rsidR="00EB5679" w:rsidRPr="005E4B5D">
        <w:trPr>
          <w:trHeight w:val="240"/>
        </w:trPr>
        <w:tc>
          <w:tcPr>
            <w:tcW w:w="6396"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On</w:t>
            </w:r>
          </w:p>
        </w:tc>
        <w:tc>
          <w:tcPr>
            <w:tcW w:w="1454" w:type="dxa"/>
            <w:gridSpan w:val="2"/>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within</w:t>
            </w:r>
            <w:proofErr w:type="gramEnd"/>
            <w:r w:rsidRPr="005E4B5D">
              <w:rPr>
                <w:rFonts w:eastAsia="Times New Roman" w:cs="Arial"/>
                <w:b/>
                <w:bCs/>
                <w:sz w:val="18"/>
                <w:szCs w:val="18"/>
                <w:lang w:val="en-AU"/>
              </w:rPr>
              <w:t xml:space="preserve"> 1</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1 to 2</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2 to 5</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&gt; 5</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demand</w:t>
            </w:r>
            <w:proofErr w:type="gramEnd"/>
          </w:p>
        </w:tc>
        <w:tc>
          <w:tcPr>
            <w:tcW w:w="1454" w:type="dxa"/>
            <w:gridSpan w:val="2"/>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year</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years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years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proofErr w:type="gramStart"/>
            <w:r w:rsidRPr="005E4B5D">
              <w:rPr>
                <w:rFonts w:eastAsia="Times New Roman" w:cs="Arial"/>
                <w:b/>
                <w:bCs/>
                <w:sz w:val="18"/>
                <w:szCs w:val="18"/>
                <w:lang w:val="en-AU"/>
              </w:rPr>
              <w:t>years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Total</w:t>
            </w: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454" w:type="dxa"/>
            <w:gridSpan w:val="2"/>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r>
      <w:tr w:rsidR="00EB5679" w:rsidRPr="005E4B5D">
        <w:trPr>
          <w:trHeight w:val="240"/>
        </w:trPr>
        <w:tc>
          <w:tcPr>
            <w:tcW w:w="639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Payables - suppliers</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278"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219,982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24,735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244,717 </w:t>
            </w:r>
          </w:p>
        </w:tc>
      </w:tr>
      <w:tr w:rsidR="00EB5679" w:rsidRPr="005E4B5D">
        <w:trPr>
          <w:trHeight w:val="240"/>
        </w:trPr>
        <w:tc>
          <w:tcPr>
            <w:tcW w:w="639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Total</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27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219,982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24,735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244,717 </w:t>
            </w:r>
          </w:p>
        </w:tc>
      </w:tr>
      <w:tr w:rsidR="00EB5679" w:rsidRPr="005E4B5D">
        <w:trPr>
          <w:trHeight w:val="12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Maturities for non-derivative financial liabilities 2013</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On</w:t>
            </w:r>
          </w:p>
        </w:tc>
        <w:tc>
          <w:tcPr>
            <w:tcW w:w="1454" w:type="dxa"/>
            <w:gridSpan w:val="2"/>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within</w:t>
            </w:r>
            <w:proofErr w:type="gramEnd"/>
            <w:r w:rsidRPr="005E4B5D">
              <w:rPr>
                <w:rFonts w:eastAsia="Times New Roman" w:cs="Arial"/>
                <w:sz w:val="18"/>
                <w:szCs w:val="18"/>
                <w:lang w:val="en-AU"/>
              </w:rPr>
              <w:t xml:space="preserve"> 1</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1 to 2</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2 to 5</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&gt; 5</w:t>
            </w:r>
          </w:p>
        </w:tc>
        <w:tc>
          <w:tcPr>
            <w:tcW w:w="1176" w:type="dxa"/>
            <w:tcBorders>
              <w:top w:val="single" w:sz="4" w:space="0" w:color="auto"/>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demand</w:t>
            </w:r>
            <w:proofErr w:type="gramEnd"/>
          </w:p>
        </w:tc>
        <w:tc>
          <w:tcPr>
            <w:tcW w:w="1454" w:type="dxa"/>
            <w:gridSpan w:val="2"/>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year</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years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years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proofErr w:type="gramStart"/>
            <w:r w:rsidRPr="005E4B5D">
              <w:rPr>
                <w:rFonts w:eastAsia="Times New Roman" w:cs="Arial"/>
                <w:sz w:val="18"/>
                <w:szCs w:val="18"/>
                <w:lang w:val="en-AU"/>
              </w:rPr>
              <w:t>years</w:t>
            </w:r>
            <w:proofErr w:type="gramEnd"/>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Total</w:t>
            </w:r>
          </w:p>
        </w:tc>
      </w:tr>
      <w:tr w:rsidR="00EB5679" w:rsidRPr="005E4B5D">
        <w:trPr>
          <w:trHeight w:val="240"/>
        </w:trPr>
        <w:tc>
          <w:tcPr>
            <w:tcW w:w="639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454" w:type="dxa"/>
            <w:gridSpan w:val="2"/>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noWrap/>
            <w:vAlign w:val="center"/>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r>
      <w:tr w:rsidR="00EB5679" w:rsidRPr="005E4B5D">
        <w:trPr>
          <w:trHeight w:val="240"/>
        </w:trPr>
        <w:tc>
          <w:tcPr>
            <w:tcW w:w="639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Payables - suppliers</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278"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371,907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30,307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402,214 </w:t>
            </w:r>
          </w:p>
        </w:tc>
      </w:tr>
      <w:tr w:rsidR="00EB5679" w:rsidRPr="005E4B5D">
        <w:trPr>
          <w:trHeight w:val="240"/>
        </w:trPr>
        <w:tc>
          <w:tcPr>
            <w:tcW w:w="639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Total</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27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371,907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30,307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402,214 </w:t>
            </w:r>
          </w:p>
        </w:tc>
      </w:tr>
      <w:tr w:rsidR="00EB5679" w:rsidRPr="005E4B5D">
        <w:trPr>
          <w:trHeight w:val="16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360"/>
        </w:trPr>
        <w:tc>
          <w:tcPr>
            <w:tcW w:w="639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PSR has no derivative financial liabilities in both the current and prior year.</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480"/>
        </w:trPr>
        <w:tc>
          <w:tcPr>
            <w:tcW w:w="13730" w:type="dxa"/>
            <w:gridSpan w:val="8"/>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PSR is appropriation funded from the Australian Government.  PSR manages its budgeted appropriations to ensure it has adequate funds to meet payments as they fall due.  In addition, PSR has policies in place to ensure timely payments are made when due and has no past experience of default.</w:t>
            </w:r>
          </w:p>
        </w:tc>
      </w:tr>
      <w:tr w:rsidR="00EB5679" w:rsidRPr="005E4B5D">
        <w:trPr>
          <w:trHeight w:val="220"/>
        </w:trPr>
        <w:tc>
          <w:tcPr>
            <w:tcW w:w="639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Note 14E: Market Risk</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360"/>
        </w:trPr>
        <w:tc>
          <w:tcPr>
            <w:tcW w:w="11378" w:type="dxa"/>
            <w:gridSpan w:val="6"/>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r w:rsidRPr="005E4B5D">
              <w:rPr>
                <w:rFonts w:eastAsia="Times New Roman" w:cs="Arial"/>
                <w:noProof/>
                <w:sz w:val="20"/>
                <w:szCs w:val="20"/>
              </w:rPr>
              <w:drawing>
                <wp:inline distT="0" distB="0" distL="0" distR="0">
                  <wp:extent cx="361315" cy="10795"/>
                  <wp:effectExtent l="0" t="0" r="0" b="0"/>
                  <wp:docPr id="19" name="Picture 19" descr="katie:Users:kathie:Library:Caches:TemporaryItems:msoclip:0: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tie:Users:kathie:Library:Caches:TemporaryItems:msoclip:0:clip_image009.png"/>
                          <pic:cNvPicPr>
                            <a:picLocks noChangeAspect="1" noChangeArrowheads="1"/>
                          </pic:cNvPicPr>
                        </pic:nvPicPr>
                        <pic:blipFill>
                          <a:blip r:embed="rId1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1315" cy="10795"/>
                          </a:xfrm>
                          <a:prstGeom prst="rect">
                            <a:avLst/>
                          </a:prstGeom>
                          <a:noFill/>
                          <a:ln>
                            <a:noFill/>
                          </a:ln>
                        </pic:spPr>
                      </pic:pic>
                    </a:graphicData>
                  </a:graphic>
                </wp:inline>
              </w:drawing>
            </w:r>
            <w:r w:rsidRPr="005E4B5D">
              <w:rPr>
                <w:rFonts w:eastAsia="Times New Roman" w:cs="Arial"/>
                <w:noProof/>
                <w:sz w:val="20"/>
                <w:szCs w:val="20"/>
              </w:rPr>
              <w:drawing>
                <wp:inline distT="0" distB="0" distL="0" distR="0">
                  <wp:extent cx="361315" cy="10795"/>
                  <wp:effectExtent l="0" t="0" r="0" b="0"/>
                  <wp:docPr id="20" name="Picture 20" descr="katie:Users:kathie:Library:Caches:TemporaryItems:msoclip:0: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tie:Users:kathie:Library:Caches:TemporaryItems:msoclip:0:clip_image010.png"/>
                          <pic:cNvPicPr>
                            <a:picLocks noChangeAspect="1" noChangeArrowheads="1"/>
                          </pic:cNvPicPr>
                        </pic:nvPicPr>
                        <pic:blipFill>
                          <a:blip r:embed="rId1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1315" cy="10795"/>
                          </a:xfrm>
                          <a:prstGeom prst="rect">
                            <a:avLst/>
                          </a:prstGeom>
                          <a:noFill/>
                          <a:ln>
                            <a:noFill/>
                          </a:ln>
                        </pic:spPr>
                      </pic:pic>
                    </a:graphicData>
                  </a:graphic>
                </wp:inline>
              </w:drawing>
            </w:r>
            <w:r w:rsidRPr="005E4B5D">
              <w:rPr>
                <w:rFonts w:eastAsia="Times New Roman" w:cs="Arial"/>
                <w:noProof/>
                <w:sz w:val="20"/>
                <w:szCs w:val="20"/>
              </w:rPr>
              <w:drawing>
                <wp:inline distT="0" distB="0" distL="0" distR="0">
                  <wp:extent cx="372110" cy="10795"/>
                  <wp:effectExtent l="0" t="0" r="0" b="0"/>
                  <wp:docPr id="21" name="Picture 2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
                          <pic:cNvPicPr>
                            <a:picLocks noChangeAspect="1" noChangeArrowheads="1"/>
                          </pic:cNvPicPr>
                        </pic:nvPicPr>
                        <pic:blipFill>
                          <a:blip r:embed="rId1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2110" cy="10795"/>
                          </a:xfrm>
                          <a:prstGeom prst="rect">
                            <a:avLst/>
                          </a:prstGeom>
                          <a:noFill/>
                          <a:ln>
                            <a:noFill/>
                          </a:ln>
                        </pic:spPr>
                      </pic:pic>
                    </a:graphicData>
                  </a:graphic>
                </wp:inline>
              </w:drawing>
            </w:r>
          </w:p>
          <w:tbl>
            <w:tblPr>
              <w:tblW w:w="0" w:type="auto"/>
              <w:tblCellSpacing w:w="0" w:type="dxa"/>
              <w:tblCellMar>
                <w:left w:w="0" w:type="dxa"/>
                <w:right w:w="0" w:type="dxa"/>
              </w:tblCellMar>
              <w:tblLook w:val="04A0"/>
            </w:tblPr>
            <w:tblGrid>
              <w:gridCol w:w="11000"/>
            </w:tblGrid>
            <w:tr w:rsidR="00EB5679" w:rsidRPr="005E4B5D">
              <w:trPr>
                <w:trHeight w:val="360"/>
                <w:tblCellSpacing w:w="0" w:type="dxa"/>
              </w:trPr>
              <w:tc>
                <w:tcPr>
                  <w:tcW w:w="11000"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xml:space="preserve">PSR's financial instruments are of </w:t>
                  </w:r>
                  <w:proofErr w:type="gramStart"/>
                  <w:r w:rsidRPr="005E4B5D">
                    <w:rPr>
                      <w:rFonts w:eastAsia="Times New Roman" w:cs="Arial"/>
                      <w:sz w:val="18"/>
                      <w:szCs w:val="18"/>
                      <w:lang w:val="en-AU"/>
                    </w:rPr>
                    <w:t>a nature that do</w:t>
                  </w:r>
                  <w:proofErr w:type="gramEnd"/>
                  <w:r w:rsidRPr="005E4B5D">
                    <w:rPr>
                      <w:rFonts w:eastAsia="Times New Roman" w:cs="Arial"/>
                      <w:sz w:val="18"/>
                      <w:szCs w:val="18"/>
                      <w:lang w:val="en-AU"/>
                    </w:rPr>
                    <w:t xml:space="preserve"> not expose PSR to certain market risks.</w:t>
                  </w:r>
                </w:p>
              </w:tc>
            </w:tr>
          </w:tbl>
          <w:p w:rsidR="00EB5679" w:rsidRPr="005E4B5D" w:rsidRDefault="00EB5679" w:rsidP="00EB5679">
            <w:pPr>
              <w:spacing w:after="0" w:line="240" w:lineRule="auto"/>
              <w:rPr>
                <w:rFonts w:eastAsia="Times New Roman" w:cs="Arial"/>
                <w:sz w:val="20"/>
                <w:szCs w:val="20"/>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PSR is not exposed to 'Currency risk' or 'Other price risk'.</w:t>
            </w: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639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PSR has no interest bearing items on the statement of financial position.</w:t>
            </w: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bl>
    <w:p w:rsidR="005E4B5D" w:rsidRDefault="005E4B5D">
      <w:pPr>
        <w:rPr>
          <w:rFonts w:cs="Arial"/>
        </w:rPr>
        <w:sectPr w:rsidR="005E4B5D" w:rsidSect="001E2C73">
          <w:pgSz w:w="16838" w:h="11906" w:orient="landscape"/>
          <w:pgMar w:top="720" w:right="567" w:bottom="720" w:left="567" w:footer="284" w:gutter="0"/>
          <w:noEndnote/>
        </w:sectPr>
      </w:pPr>
    </w:p>
    <w:tbl>
      <w:tblPr>
        <w:tblW w:w="8400" w:type="dxa"/>
        <w:tblInd w:w="108" w:type="dxa"/>
        <w:tblLook w:val="04A0"/>
      </w:tblPr>
      <w:tblGrid>
        <w:gridCol w:w="5135"/>
        <w:gridCol w:w="727"/>
        <w:gridCol w:w="1176"/>
        <w:gridCol w:w="296"/>
        <w:gridCol w:w="1066"/>
      </w:tblGrid>
      <w:tr w:rsidR="005E4B5D" w:rsidRPr="005E4B5D">
        <w:trPr>
          <w:trHeight w:val="260"/>
        </w:trPr>
        <w:tc>
          <w:tcPr>
            <w:tcW w:w="8400" w:type="dxa"/>
            <w:gridSpan w:val="5"/>
            <w:tcBorders>
              <w:top w:val="nil"/>
              <w:left w:val="nil"/>
              <w:bottom w:val="nil"/>
            </w:tcBorders>
            <w:shd w:val="clear" w:color="auto" w:fill="auto"/>
            <w:noWrap/>
          </w:tcPr>
          <w:p w:rsidR="005E4B5D" w:rsidRDefault="005E4B5D" w:rsidP="005E4B5D">
            <w:r w:rsidRPr="005E4B5D">
              <w:rPr>
                <w:lang w:val="en-AU"/>
              </w:rPr>
              <w:t>Notes to and forming part of the financial statements</w:t>
            </w:r>
            <w:r w:rsidRPr="005E4B5D">
              <w:t xml:space="preserve"> </w:t>
            </w:r>
          </w:p>
          <w:p w:rsidR="005E4B5D" w:rsidRPr="005E4B5D" w:rsidRDefault="005E4B5D" w:rsidP="005E4B5D">
            <w:pPr>
              <w:pStyle w:val="Financialsnotehead"/>
            </w:pPr>
            <w:r w:rsidRPr="005E4B5D">
              <w:t>Note 15: Financial Assets Reconciliation</w:t>
            </w:r>
          </w:p>
          <w:p w:rsidR="005E4B5D" w:rsidRPr="005E4B5D" w:rsidRDefault="005E4B5D"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r>
      <w:tr w:rsidR="00EB5679" w:rsidRPr="005E4B5D">
        <w:trPr>
          <w:trHeight w:val="240"/>
        </w:trPr>
        <w:tc>
          <w:tcPr>
            <w:tcW w:w="5135"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 </w:t>
            </w:r>
          </w:p>
        </w:tc>
        <w:tc>
          <w:tcPr>
            <w:tcW w:w="727"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 </w:t>
            </w:r>
          </w:p>
        </w:tc>
        <w:tc>
          <w:tcPr>
            <w:tcW w:w="1176"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296"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066"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r>
      <w:tr w:rsidR="00EB5679" w:rsidRPr="005E4B5D">
        <w:trPr>
          <w:trHeight w:val="240"/>
        </w:trPr>
        <w:tc>
          <w:tcPr>
            <w:tcW w:w="5135" w:type="dxa"/>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p>
        </w:tc>
        <w:tc>
          <w:tcPr>
            <w:tcW w:w="727" w:type="dxa"/>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b/>
                <w:bCs/>
                <w:sz w:val="18"/>
                <w:szCs w:val="18"/>
                <w:lang w:val="en-AU"/>
              </w:rPr>
            </w:pP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2014</w:t>
            </w:r>
          </w:p>
        </w:tc>
        <w:tc>
          <w:tcPr>
            <w:tcW w:w="29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2013</w:t>
            </w:r>
          </w:p>
        </w:tc>
      </w:tr>
      <w:tr w:rsidR="00EB5679" w:rsidRPr="005E4B5D">
        <w:trPr>
          <w:trHeight w:val="240"/>
        </w:trPr>
        <w:tc>
          <w:tcPr>
            <w:tcW w:w="5135"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727"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176"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296" w:type="dxa"/>
            <w:tcBorders>
              <w:top w:val="nil"/>
              <w:left w:val="nil"/>
              <w:bottom w:val="single" w:sz="4" w:space="0" w:color="auto"/>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106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r>
      <w:tr w:rsidR="00EB5679" w:rsidRPr="005E4B5D">
        <w:trPr>
          <w:trHeight w:val="240"/>
        </w:trPr>
        <w:tc>
          <w:tcPr>
            <w:tcW w:w="5135" w:type="dxa"/>
            <w:tcBorders>
              <w:top w:val="nil"/>
              <w:left w:val="nil"/>
              <w:bottom w:val="nil"/>
              <w:right w:val="nil"/>
            </w:tcBorders>
            <w:shd w:val="clear" w:color="auto" w:fill="auto"/>
            <w:vAlign w:val="center"/>
          </w:tcPr>
          <w:p w:rsidR="005509F4" w:rsidRDefault="005509F4" w:rsidP="00EB5679">
            <w:pPr>
              <w:spacing w:after="0" w:line="240" w:lineRule="auto"/>
              <w:rPr>
                <w:rFonts w:eastAsia="Times New Roman" w:cs="Arial"/>
                <w:b/>
                <w:bCs/>
                <w:sz w:val="18"/>
                <w:szCs w:val="18"/>
                <w:u w:val="single"/>
                <w:lang w:val="en-AU"/>
              </w:rPr>
            </w:pPr>
          </w:p>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Financial assets</w:t>
            </w:r>
          </w:p>
        </w:tc>
        <w:tc>
          <w:tcPr>
            <w:tcW w:w="727" w:type="dxa"/>
            <w:tcBorders>
              <w:top w:val="nil"/>
              <w:left w:val="nil"/>
              <w:bottom w:val="nil"/>
              <w:right w:val="nil"/>
            </w:tcBorders>
            <w:shd w:val="clear" w:color="auto" w:fill="auto"/>
            <w:vAlign w:val="center"/>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Notes</w:t>
            </w: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240"/>
        </w:trPr>
        <w:tc>
          <w:tcPr>
            <w:tcW w:w="5135" w:type="dxa"/>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b/>
                <w:bCs/>
                <w:sz w:val="18"/>
                <w:szCs w:val="18"/>
                <w:u w:val="single"/>
                <w:lang w:val="en-AU"/>
              </w:rPr>
            </w:pPr>
          </w:p>
        </w:tc>
        <w:tc>
          <w:tcPr>
            <w:tcW w:w="727" w:type="dxa"/>
            <w:tcBorders>
              <w:top w:val="nil"/>
              <w:left w:val="nil"/>
              <w:bottom w:val="nil"/>
              <w:right w:val="nil"/>
            </w:tcBorders>
            <w:shd w:val="clear" w:color="auto" w:fill="auto"/>
            <w:vAlign w:val="center"/>
          </w:tcPr>
          <w:p w:rsidR="00EB5679" w:rsidRPr="005E4B5D" w:rsidRDefault="00EB5679" w:rsidP="00EB5679">
            <w:pPr>
              <w:spacing w:after="0" w:line="240" w:lineRule="auto"/>
              <w:rPr>
                <w:rFonts w:eastAsia="Times New Roman" w:cs="Arial"/>
                <w:b/>
                <w:bCs/>
                <w:sz w:val="18"/>
                <w:szCs w:val="18"/>
                <w:u w:val="single"/>
                <w:lang w:val="en-AU"/>
              </w:rPr>
            </w:pP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240"/>
        </w:trPr>
        <w:tc>
          <w:tcPr>
            <w:tcW w:w="5135" w:type="dxa"/>
            <w:tcBorders>
              <w:top w:val="nil"/>
              <w:left w:val="nil"/>
              <w:bottom w:val="nil"/>
              <w:right w:val="nil"/>
            </w:tcBorders>
            <w:shd w:val="clear" w:color="auto" w:fill="auto"/>
            <w:vAlign w:val="bottom"/>
          </w:tcPr>
          <w:p w:rsidR="00EB5679" w:rsidRPr="005E4B5D" w:rsidRDefault="00EB5679" w:rsidP="005509F4">
            <w:pPr>
              <w:spacing w:after="0" w:line="240" w:lineRule="auto"/>
              <w:rPr>
                <w:rFonts w:eastAsia="Times New Roman" w:cs="Arial"/>
                <w:b/>
                <w:bCs/>
                <w:sz w:val="18"/>
                <w:szCs w:val="18"/>
                <w:lang w:val="en-AU"/>
              </w:rPr>
            </w:pPr>
            <w:r w:rsidRPr="005E4B5D">
              <w:rPr>
                <w:rFonts w:eastAsia="Times New Roman" w:cs="Arial"/>
                <w:b/>
                <w:bCs/>
                <w:sz w:val="18"/>
                <w:szCs w:val="18"/>
                <w:lang w:val="en-AU"/>
              </w:rPr>
              <w:t xml:space="preserve">Total financial assets as per </w:t>
            </w:r>
            <w:r w:rsidR="005509F4">
              <w:rPr>
                <w:rFonts w:eastAsia="Times New Roman" w:cs="Arial"/>
                <w:b/>
                <w:bCs/>
                <w:sz w:val="18"/>
                <w:szCs w:val="18"/>
                <w:lang w:val="en-AU"/>
              </w:rPr>
              <w:t>Statement of Financial Position</w:t>
            </w:r>
          </w:p>
        </w:tc>
        <w:tc>
          <w:tcPr>
            <w:tcW w:w="727"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20"/>
                <w:szCs w:val="20"/>
                <w:lang w:val="en-AU"/>
              </w:rPr>
            </w:pP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8,021,348 </w:t>
            </w:r>
          </w:p>
        </w:tc>
        <w:tc>
          <w:tcPr>
            <w:tcW w:w="29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6,465,561 </w:t>
            </w:r>
          </w:p>
        </w:tc>
      </w:tr>
      <w:tr w:rsidR="00EB5679" w:rsidRPr="005E4B5D">
        <w:trPr>
          <w:trHeight w:val="240"/>
        </w:trPr>
        <w:tc>
          <w:tcPr>
            <w:tcW w:w="5135"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Less: non-financial instrument components:</w:t>
            </w:r>
          </w:p>
        </w:tc>
        <w:tc>
          <w:tcPr>
            <w:tcW w:w="727"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29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240"/>
        </w:trPr>
        <w:tc>
          <w:tcPr>
            <w:tcW w:w="5135" w:type="dxa"/>
            <w:tcBorders>
              <w:top w:val="nil"/>
              <w:left w:val="nil"/>
              <w:bottom w:val="nil"/>
              <w:right w:val="nil"/>
            </w:tcBorders>
            <w:shd w:val="clear" w:color="auto" w:fill="auto"/>
            <w:vAlign w:val="bottom"/>
          </w:tcPr>
          <w:p w:rsidR="00EB5679" w:rsidRPr="005E4B5D" w:rsidRDefault="00EB5679" w:rsidP="009F7D0F">
            <w:pPr>
              <w:spacing w:after="0" w:line="240" w:lineRule="auto"/>
              <w:ind w:firstLineChars="100" w:firstLine="140"/>
              <w:rPr>
                <w:rFonts w:eastAsia="Times New Roman" w:cs="Arial"/>
                <w:sz w:val="18"/>
                <w:szCs w:val="18"/>
                <w:lang w:val="en-AU"/>
              </w:rPr>
            </w:pPr>
            <w:r w:rsidRPr="005E4B5D">
              <w:rPr>
                <w:rFonts w:eastAsia="Times New Roman" w:cs="Arial"/>
                <w:sz w:val="18"/>
                <w:szCs w:val="18"/>
                <w:lang w:val="en-AU"/>
              </w:rPr>
              <w:t>Appropriations receivable</w:t>
            </w:r>
          </w:p>
        </w:tc>
        <w:tc>
          <w:tcPr>
            <w:tcW w:w="727" w:type="dxa"/>
            <w:tcBorders>
              <w:top w:val="nil"/>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6B</w:t>
            </w:r>
          </w:p>
        </w:tc>
        <w:tc>
          <w:tcPr>
            <w:tcW w:w="117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7,921,743 </w:t>
            </w:r>
          </w:p>
        </w:tc>
        <w:tc>
          <w:tcPr>
            <w:tcW w:w="29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6,339,212 </w:t>
            </w:r>
          </w:p>
        </w:tc>
      </w:tr>
      <w:tr w:rsidR="00EB5679" w:rsidRPr="005E4B5D">
        <w:trPr>
          <w:trHeight w:val="240"/>
        </w:trPr>
        <w:tc>
          <w:tcPr>
            <w:tcW w:w="5135" w:type="dxa"/>
            <w:tcBorders>
              <w:top w:val="nil"/>
              <w:left w:val="nil"/>
              <w:bottom w:val="nil"/>
              <w:right w:val="nil"/>
            </w:tcBorders>
            <w:shd w:val="clear" w:color="auto" w:fill="auto"/>
            <w:vAlign w:val="bottom"/>
          </w:tcPr>
          <w:p w:rsidR="00EB5679" w:rsidRPr="005E4B5D" w:rsidRDefault="00EB5679" w:rsidP="009F7D0F">
            <w:pPr>
              <w:spacing w:after="0" w:line="240" w:lineRule="auto"/>
              <w:ind w:firstLineChars="100" w:firstLine="140"/>
              <w:rPr>
                <w:rFonts w:eastAsia="Times New Roman" w:cs="Arial"/>
                <w:sz w:val="18"/>
                <w:szCs w:val="18"/>
                <w:lang w:val="en-AU"/>
              </w:rPr>
            </w:pPr>
            <w:r w:rsidRPr="005E4B5D">
              <w:rPr>
                <w:rFonts w:eastAsia="Times New Roman" w:cs="Arial"/>
                <w:sz w:val="18"/>
                <w:szCs w:val="18"/>
                <w:lang w:val="en-AU"/>
              </w:rPr>
              <w:t>Other receivables</w:t>
            </w:r>
          </w:p>
        </w:tc>
        <w:tc>
          <w:tcPr>
            <w:tcW w:w="727" w:type="dxa"/>
            <w:tcBorders>
              <w:top w:val="nil"/>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6B</w:t>
            </w:r>
          </w:p>
        </w:tc>
        <w:tc>
          <w:tcPr>
            <w:tcW w:w="1176"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9,989 </w:t>
            </w:r>
          </w:p>
        </w:tc>
        <w:tc>
          <w:tcPr>
            <w:tcW w:w="296"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sz w:val="18"/>
                <w:szCs w:val="18"/>
                <w:lang w:val="en-AU"/>
              </w:rPr>
            </w:pPr>
          </w:p>
        </w:tc>
        <w:tc>
          <w:tcPr>
            <w:tcW w:w="106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23,988 </w:t>
            </w:r>
          </w:p>
        </w:tc>
      </w:tr>
      <w:tr w:rsidR="00EB5679" w:rsidRPr="005E4B5D">
        <w:trPr>
          <w:trHeight w:val="240"/>
        </w:trPr>
        <w:tc>
          <w:tcPr>
            <w:tcW w:w="5135"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Total non-financial instrument components</w:t>
            </w:r>
          </w:p>
        </w:tc>
        <w:tc>
          <w:tcPr>
            <w:tcW w:w="727"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7,931,732 </w:t>
            </w:r>
          </w:p>
        </w:tc>
        <w:tc>
          <w:tcPr>
            <w:tcW w:w="296" w:type="dxa"/>
            <w:tcBorders>
              <w:top w:val="nil"/>
              <w:left w:val="nil"/>
              <w:bottom w:val="nil"/>
              <w:right w:val="nil"/>
            </w:tcBorders>
            <w:shd w:val="clear" w:color="auto" w:fill="auto"/>
            <w:vAlign w:val="center"/>
          </w:tcPr>
          <w:p w:rsidR="00EB5679" w:rsidRPr="005E4B5D" w:rsidRDefault="00EB5679" w:rsidP="00EB5679">
            <w:pPr>
              <w:spacing w:after="0" w:line="240" w:lineRule="auto"/>
              <w:jc w:val="right"/>
              <w:rPr>
                <w:rFonts w:eastAsia="Times New Roman" w:cs="Arial"/>
                <w:b/>
                <w:bCs/>
                <w:sz w:val="18"/>
                <w:szCs w:val="18"/>
                <w:lang w:val="en-AU"/>
              </w:rPr>
            </w:pPr>
          </w:p>
        </w:tc>
        <w:tc>
          <w:tcPr>
            <w:tcW w:w="106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6,363,200 </w:t>
            </w:r>
          </w:p>
        </w:tc>
      </w:tr>
      <w:tr w:rsidR="00EB5679" w:rsidRPr="005E4B5D">
        <w:trPr>
          <w:trHeight w:val="240"/>
        </w:trPr>
        <w:tc>
          <w:tcPr>
            <w:tcW w:w="5135"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Total financial assets as per financial instruments note</w:t>
            </w:r>
          </w:p>
        </w:tc>
        <w:tc>
          <w:tcPr>
            <w:tcW w:w="727"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89,616 </w:t>
            </w:r>
          </w:p>
        </w:tc>
        <w:tc>
          <w:tcPr>
            <w:tcW w:w="296"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06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102,361 </w:t>
            </w:r>
          </w:p>
        </w:tc>
      </w:tr>
    </w:tbl>
    <w:p w:rsidR="00EB5679" w:rsidRPr="005E4B5D" w:rsidRDefault="00EB5679">
      <w:pPr>
        <w:rPr>
          <w:rFonts w:cs="Arial"/>
        </w:rPr>
        <w:sectPr w:rsidR="00EB5679" w:rsidRPr="005E4B5D" w:rsidSect="001E2C73">
          <w:pgSz w:w="11906" w:h="16838"/>
          <w:pgMar w:top="567" w:right="720" w:bottom="567" w:left="720" w:footer="284" w:gutter="0"/>
          <w:noEndnote/>
        </w:sectPr>
      </w:pPr>
    </w:p>
    <w:tbl>
      <w:tblPr>
        <w:tblW w:w="5000" w:type="pct"/>
        <w:tblLook w:val="04A0"/>
      </w:tblPr>
      <w:tblGrid>
        <w:gridCol w:w="4003"/>
        <w:gridCol w:w="1581"/>
        <w:gridCol w:w="1507"/>
        <w:gridCol w:w="1389"/>
        <w:gridCol w:w="1507"/>
        <w:gridCol w:w="1067"/>
        <w:gridCol w:w="1067"/>
        <w:gridCol w:w="1376"/>
        <w:gridCol w:w="1406"/>
        <w:gridCol w:w="1017"/>
      </w:tblGrid>
      <w:tr w:rsidR="00EB5679" w:rsidRPr="005E4B5D">
        <w:trPr>
          <w:trHeight w:val="360"/>
        </w:trPr>
        <w:tc>
          <w:tcPr>
            <w:tcW w:w="1813" w:type="pct"/>
            <w:gridSpan w:val="2"/>
            <w:tcBorders>
              <w:top w:val="nil"/>
              <w:left w:val="nil"/>
              <w:right w:val="nil"/>
            </w:tcBorders>
            <w:shd w:val="clear" w:color="auto" w:fill="auto"/>
            <w:noWrap/>
            <w:vAlign w:val="center"/>
          </w:tcPr>
          <w:p w:rsidR="00EB5679" w:rsidRPr="005E4B5D" w:rsidRDefault="00EB5679" w:rsidP="005E4B5D">
            <w:pPr>
              <w:rPr>
                <w:lang w:val="en-AU"/>
              </w:rPr>
            </w:pPr>
            <w:bookmarkStart w:id="362" w:name="RANGE!D1:M72"/>
            <w:r w:rsidRPr="005E4B5D">
              <w:rPr>
                <w:lang w:val="en-AU"/>
              </w:rPr>
              <w:t>Notes to and forming part of the financial statements</w:t>
            </w:r>
            <w:bookmarkEnd w:id="362"/>
          </w:p>
        </w:tc>
        <w:tc>
          <w:tcPr>
            <w:tcW w:w="482" w:type="pct"/>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481" w:type="pct"/>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482" w:type="pct"/>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314" w:type="pct"/>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314" w:type="pct"/>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403" w:type="pct"/>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412" w:type="pct"/>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299" w:type="pct"/>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r>
      <w:tr w:rsidR="00EB5679" w:rsidRPr="005E4B5D">
        <w:trPr>
          <w:trHeight w:val="300"/>
        </w:trPr>
        <w:tc>
          <w:tcPr>
            <w:tcW w:w="1287" w:type="pct"/>
            <w:tcBorders>
              <w:top w:val="nil"/>
              <w:left w:val="nil"/>
              <w:bottom w:val="single" w:sz="4" w:space="0" w:color="auto"/>
              <w:right w:val="nil"/>
            </w:tcBorders>
            <w:shd w:val="clear" w:color="auto" w:fill="auto"/>
            <w:noWrap/>
          </w:tcPr>
          <w:p w:rsidR="00EB5679" w:rsidRPr="005E4B5D" w:rsidRDefault="00EB5679" w:rsidP="005E4B5D">
            <w:pPr>
              <w:pStyle w:val="Financialsnotehead"/>
            </w:pPr>
            <w:r w:rsidRPr="005E4B5D">
              <w:t>Note 16: Appropriations</w:t>
            </w:r>
          </w:p>
        </w:tc>
        <w:tc>
          <w:tcPr>
            <w:tcW w:w="526" w:type="pct"/>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482" w:type="pct"/>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481" w:type="pct"/>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482" w:type="pct"/>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314" w:type="pct"/>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314" w:type="pct"/>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403" w:type="pct"/>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412" w:type="pct"/>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299" w:type="pct"/>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r>
      <w:tr w:rsidR="00EB5679" w:rsidRPr="005E4B5D">
        <w:trPr>
          <w:trHeight w:val="240"/>
        </w:trPr>
        <w:tc>
          <w:tcPr>
            <w:tcW w:w="1287"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526"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82"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81"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82"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14"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14"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3"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12"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9"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5000" w:type="pct"/>
            <w:gridSpan w:val="10"/>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Table A: Annual Appropriations ('Recoverable GST exclusive')</w:t>
            </w:r>
          </w:p>
        </w:tc>
      </w:tr>
      <w:tr w:rsidR="00EB5679" w:rsidRPr="005E4B5D">
        <w:trPr>
          <w:trHeight w:val="240"/>
        </w:trPr>
        <w:tc>
          <w:tcPr>
            <w:tcW w:w="128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526"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48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403"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41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299"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r>
      <w:tr w:rsidR="00EB5679" w:rsidRPr="005E4B5D">
        <w:trPr>
          <w:trHeight w:val="240"/>
        </w:trPr>
        <w:tc>
          <w:tcPr>
            <w:tcW w:w="1287" w:type="pc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3002" w:type="pct"/>
            <w:gridSpan w:val="7"/>
            <w:tcBorders>
              <w:top w:val="single" w:sz="4" w:space="0" w:color="auto"/>
              <w:left w:val="single" w:sz="4" w:space="0" w:color="auto"/>
              <w:bottom w:val="single" w:sz="4" w:space="0" w:color="auto"/>
              <w:right w:val="single" w:sz="4" w:space="0" w:color="000000"/>
            </w:tcBorders>
            <w:shd w:val="clear" w:color="auto" w:fill="auto"/>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2014 Appropriations</w:t>
            </w:r>
          </w:p>
        </w:tc>
        <w:tc>
          <w:tcPr>
            <w:tcW w:w="412" w:type="pct"/>
            <w:vMerge w:val="restart"/>
            <w:tcBorders>
              <w:top w:val="single" w:sz="4" w:space="0" w:color="auto"/>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Appropriation applied in 2014 (current and prior years)</w:t>
            </w:r>
          </w:p>
        </w:tc>
        <w:tc>
          <w:tcPr>
            <w:tcW w:w="299"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Variance</w:t>
            </w:r>
            <w:r w:rsidRPr="005E4B5D">
              <w:rPr>
                <w:rFonts w:eastAsia="Times New Roman" w:cs="Arial"/>
                <w:b/>
                <w:bCs/>
                <w:sz w:val="18"/>
                <w:szCs w:val="18"/>
                <w:vertAlign w:val="superscript"/>
                <w:lang w:val="en-AU"/>
              </w:rPr>
              <w:t xml:space="preserve"> (d)</w:t>
            </w:r>
          </w:p>
        </w:tc>
      </w:tr>
      <w:tr w:rsidR="00EB5679" w:rsidRPr="005E4B5D">
        <w:trPr>
          <w:trHeight w:val="24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1489" w:type="pct"/>
            <w:gridSpan w:val="3"/>
            <w:tcBorders>
              <w:top w:val="single" w:sz="4" w:space="0" w:color="auto"/>
              <w:left w:val="single" w:sz="4" w:space="0" w:color="auto"/>
              <w:bottom w:val="single" w:sz="4" w:space="0" w:color="auto"/>
              <w:right w:val="nil"/>
            </w:tcBorders>
            <w:shd w:val="clear" w:color="auto" w:fill="auto"/>
            <w:vAlign w:val="bottom"/>
          </w:tcPr>
          <w:p w:rsidR="00EB5679" w:rsidRPr="005E4B5D" w:rsidRDefault="00EB5679" w:rsidP="00EB5679">
            <w:pPr>
              <w:spacing w:after="0" w:line="240" w:lineRule="auto"/>
              <w:jc w:val="center"/>
              <w:rPr>
                <w:rFonts w:eastAsia="Times New Roman" w:cs="Arial"/>
                <w:b/>
                <w:bCs/>
                <w:i/>
                <w:iCs/>
                <w:color w:val="000000"/>
                <w:sz w:val="18"/>
                <w:szCs w:val="18"/>
                <w:lang w:val="en-AU"/>
              </w:rPr>
            </w:pPr>
            <w:r w:rsidRPr="005E4B5D">
              <w:rPr>
                <w:rFonts w:eastAsia="Times New Roman" w:cs="Arial"/>
                <w:b/>
                <w:bCs/>
                <w:i/>
                <w:iCs/>
                <w:color w:val="000000"/>
                <w:sz w:val="18"/>
                <w:szCs w:val="18"/>
                <w:lang w:val="en-AU"/>
              </w:rPr>
              <w:t>Appropriation Act</w:t>
            </w:r>
          </w:p>
        </w:tc>
        <w:tc>
          <w:tcPr>
            <w:tcW w:w="1110"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rsidR="00EB5679" w:rsidRPr="005E4B5D" w:rsidRDefault="00EB5679" w:rsidP="00EB5679">
            <w:pPr>
              <w:spacing w:after="0" w:line="240" w:lineRule="auto"/>
              <w:jc w:val="center"/>
              <w:rPr>
                <w:rFonts w:eastAsia="Times New Roman" w:cs="Arial"/>
                <w:b/>
                <w:bCs/>
                <w:i/>
                <w:iCs/>
                <w:color w:val="000000"/>
                <w:sz w:val="18"/>
                <w:szCs w:val="18"/>
                <w:lang w:val="en-AU"/>
              </w:rPr>
            </w:pPr>
            <w:r w:rsidRPr="005E4B5D">
              <w:rPr>
                <w:rFonts w:eastAsia="Times New Roman" w:cs="Arial"/>
                <w:b/>
                <w:bCs/>
                <w:i/>
                <w:iCs/>
                <w:color w:val="000000"/>
                <w:sz w:val="18"/>
                <w:szCs w:val="18"/>
                <w:lang w:val="en-AU"/>
              </w:rPr>
              <w:t>FMA Act</w:t>
            </w:r>
          </w:p>
        </w:tc>
        <w:tc>
          <w:tcPr>
            <w:tcW w:w="403"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Total appropriation</w:t>
            </w:r>
          </w:p>
        </w:tc>
        <w:tc>
          <w:tcPr>
            <w:tcW w:w="412" w:type="pct"/>
            <w:vMerge/>
            <w:tcBorders>
              <w:top w:val="single" w:sz="4" w:space="0" w:color="auto"/>
              <w:left w:val="nil"/>
              <w:bottom w:val="nil"/>
              <w:right w:val="nil"/>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299"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r>
      <w:tr w:rsidR="00EB5679" w:rsidRPr="005E4B5D">
        <w:trPr>
          <w:trHeight w:val="52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6"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 xml:space="preserve">Annual </w:t>
            </w:r>
            <w:proofErr w:type="gramStart"/>
            <w:r w:rsidRPr="005E4B5D">
              <w:rPr>
                <w:rFonts w:eastAsia="Times New Roman" w:cs="Arial"/>
                <w:b/>
                <w:bCs/>
                <w:sz w:val="18"/>
                <w:szCs w:val="18"/>
                <w:lang w:val="en-AU"/>
              </w:rPr>
              <w:t>Appropriation</w:t>
            </w:r>
            <w:r w:rsidRPr="005E4B5D">
              <w:rPr>
                <w:rFonts w:eastAsia="Times New Roman" w:cs="Arial"/>
                <w:b/>
                <w:bCs/>
                <w:sz w:val="18"/>
                <w:szCs w:val="18"/>
                <w:vertAlign w:val="superscript"/>
                <w:lang w:val="en-AU"/>
              </w:rPr>
              <w:t>(</w:t>
            </w:r>
            <w:proofErr w:type="gramEnd"/>
            <w:r w:rsidRPr="005E4B5D">
              <w:rPr>
                <w:rFonts w:eastAsia="Times New Roman" w:cs="Arial"/>
                <w:b/>
                <w:bCs/>
                <w:sz w:val="18"/>
                <w:szCs w:val="18"/>
                <w:vertAlign w:val="superscript"/>
                <w:lang w:val="en-AU"/>
              </w:rPr>
              <w:t>b)</w:t>
            </w:r>
          </w:p>
        </w:tc>
        <w:tc>
          <w:tcPr>
            <w:tcW w:w="482" w:type="pct"/>
            <w:tcBorders>
              <w:top w:val="nil"/>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Appropriations reduced</w:t>
            </w:r>
          </w:p>
        </w:tc>
        <w:tc>
          <w:tcPr>
            <w:tcW w:w="481" w:type="pct"/>
            <w:tcBorders>
              <w:top w:val="nil"/>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 xml:space="preserve">AFM </w:t>
            </w:r>
            <w:r w:rsidRPr="005E4B5D">
              <w:rPr>
                <w:rFonts w:eastAsia="Times New Roman" w:cs="Arial"/>
                <w:b/>
                <w:bCs/>
                <w:sz w:val="18"/>
                <w:szCs w:val="18"/>
                <w:vertAlign w:val="superscript"/>
                <w:lang w:val="en-AU"/>
              </w:rPr>
              <w:t>(c)</w:t>
            </w:r>
          </w:p>
        </w:tc>
        <w:tc>
          <w:tcPr>
            <w:tcW w:w="482"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Section 30</w:t>
            </w:r>
          </w:p>
        </w:tc>
        <w:tc>
          <w:tcPr>
            <w:tcW w:w="314" w:type="pct"/>
            <w:tcBorders>
              <w:top w:val="nil"/>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Section 31</w:t>
            </w:r>
          </w:p>
        </w:tc>
        <w:tc>
          <w:tcPr>
            <w:tcW w:w="314"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Section 32</w:t>
            </w:r>
          </w:p>
        </w:tc>
        <w:tc>
          <w:tcPr>
            <w:tcW w:w="403"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412" w:type="pct"/>
            <w:vMerge/>
            <w:tcBorders>
              <w:top w:val="single" w:sz="4" w:space="0" w:color="auto"/>
              <w:left w:val="nil"/>
              <w:bottom w:val="nil"/>
              <w:right w:val="nil"/>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299"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r>
      <w:tr w:rsidR="00EB5679" w:rsidRPr="005E4B5D">
        <w:trPr>
          <w:trHeight w:val="240"/>
        </w:trPr>
        <w:tc>
          <w:tcPr>
            <w:tcW w:w="1287"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6" w:type="pct"/>
            <w:tcBorders>
              <w:top w:val="nil"/>
              <w:left w:val="single" w:sz="4" w:space="0" w:color="auto"/>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82" w:type="pct"/>
            <w:tcBorders>
              <w:top w:val="nil"/>
              <w:left w:val="nil"/>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81" w:type="pct"/>
            <w:tcBorders>
              <w:top w:val="nil"/>
              <w:left w:val="nil"/>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82" w:type="pct"/>
            <w:tcBorders>
              <w:top w:val="nil"/>
              <w:left w:val="single" w:sz="4" w:space="0" w:color="auto"/>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314" w:type="pct"/>
            <w:tcBorders>
              <w:top w:val="nil"/>
              <w:left w:val="nil"/>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314"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03"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12" w:type="pct"/>
            <w:tcBorders>
              <w:top w:val="nil"/>
              <w:left w:val="nil"/>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299"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r>
      <w:tr w:rsidR="00EB5679" w:rsidRPr="005E4B5D">
        <w:trPr>
          <w:trHeight w:val="24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DEPARTMENTAL</w:t>
            </w:r>
          </w:p>
        </w:tc>
        <w:tc>
          <w:tcPr>
            <w:tcW w:w="526"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82"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481"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482"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314"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314"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03"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12" w:type="pc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299"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r>
      <w:tr w:rsidR="00EB5679" w:rsidRPr="005E4B5D">
        <w:trPr>
          <w:trHeight w:val="24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9F7D0F">
            <w:pPr>
              <w:spacing w:after="0" w:line="240" w:lineRule="auto"/>
              <w:ind w:firstLineChars="200" w:firstLine="280"/>
              <w:rPr>
                <w:rFonts w:eastAsia="Times New Roman" w:cs="Arial"/>
                <w:b/>
                <w:bCs/>
                <w:color w:val="000000"/>
                <w:sz w:val="18"/>
                <w:szCs w:val="18"/>
                <w:lang w:val="en-AU"/>
              </w:rPr>
            </w:pPr>
            <w:r w:rsidRPr="005E4B5D">
              <w:rPr>
                <w:rFonts w:eastAsia="Times New Roman" w:cs="Arial"/>
                <w:b/>
                <w:bCs/>
                <w:color w:val="000000"/>
                <w:sz w:val="18"/>
                <w:szCs w:val="18"/>
                <w:lang w:val="en-AU"/>
              </w:rPr>
              <w:t xml:space="preserve">Ordinary annual services </w:t>
            </w:r>
            <w:r w:rsidRPr="005E4B5D">
              <w:rPr>
                <w:rFonts w:eastAsia="Times New Roman" w:cs="Arial"/>
                <w:b/>
                <w:bCs/>
                <w:color w:val="000000"/>
                <w:sz w:val="18"/>
                <w:szCs w:val="18"/>
                <w:vertAlign w:val="superscript"/>
                <w:lang w:val="en-AU"/>
              </w:rPr>
              <w:t>(a)</w:t>
            </w:r>
          </w:p>
        </w:tc>
        <w:tc>
          <w:tcPr>
            <w:tcW w:w="526" w:type="pct"/>
            <w:tcBorders>
              <w:top w:val="nil"/>
              <w:left w:val="single" w:sz="4" w:space="0" w:color="auto"/>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6,196,000 </w:t>
            </w: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481"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482" w:type="pct"/>
            <w:tcBorders>
              <w:top w:val="nil"/>
              <w:left w:val="single" w:sz="4" w:space="0" w:color="auto"/>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135,065 </w:t>
            </w:r>
          </w:p>
        </w:tc>
        <w:tc>
          <w:tcPr>
            <w:tcW w:w="314" w:type="pct"/>
            <w:tcBorders>
              <w:top w:val="nil"/>
              <w:left w:val="nil"/>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403" w:type="pct"/>
            <w:tcBorders>
              <w:top w:val="nil"/>
              <w:left w:val="single" w:sz="4" w:space="0" w:color="auto"/>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6,331,065 </w:t>
            </w:r>
          </w:p>
        </w:tc>
        <w:tc>
          <w:tcPr>
            <w:tcW w:w="412" w:type="pct"/>
            <w:tcBorders>
              <w:top w:val="nil"/>
              <w:left w:val="single" w:sz="4" w:space="0" w:color="auto"/>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(4,931,612)</w:t>
            </w:r>
          </w:p>
        </w:tc>
        <w:tc>
          <w:tcPr>
            <w:tcW w:w="299" w:type="pct"/>
            <w:tcBorders>
              <w:top w:val="nil"/>
              <w:left w:val="nil"/>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1,399,453 </w:t>
            </w:r>
          </w:p>
        </w:tc>
      </w:tr>
      <w:tr w:rsidR="00EB5679" w:rsidRPr="005E4B5D">
        <w:trPr>
          <w:trHeight w:val="240"/>
        </w:trPr>
        <w:tc>
          <w:tcPr>
            <w:tcW w:w="1287" w:type="pct"/>
            <w:tcBorders>
              <w:top w:val="single" w:sz="4" w:space="0" w:color="auto"/>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Total departmental</w:t>
            </w:r>
          </w:p>
        </w:tc>
        <w:tc>
          <w:tcPr>
            <w:tcW w:w="526" w:type="pct"/>
            <w:tcBorders>
              <w:top w:val="single" w:sz="4" w:space="0" w:color="auto"/>
              <w:left w:val="single" w:sz="4" w:space="0" w:color="auto"/>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6,196,000 </w:t>
            </w:r>
          </w:p>
        </w:tc>
        <w:tc>
          <w:tcPr>
            <w:tcW w:w="482"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481"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482" w:type="pct"/>
            <w:tcBorders>
              <w:top w:val="single" w:sz="4" w:space="0" w:color="auto"/>
              <w:left w:val="single" w:sz="4" w:space="0" w:color="auto"/>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314"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135,065 </w:t>
            </w:r>
          </w:p>
        </w:tc>
        <w:tc>
          <w:tcPr>
            <w:tcW w:w="314" w:type="pct"/>
            <w:tcBorders>
              <w:top w:val="single" w:sz="4" w:space="0" w:color="auto"/>
              <w:left w:val="nil"/>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403"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6,331,065 </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(4,931,612)</w:t>
            </w:r>
          </w:p>
        </w:tc>
        <w:tc>
          <w:tcPr>
            <w:tcW w:w="299" w:type="pct"/>
            <w:tcBorders>
              <w:top w:val="single" w:sz="4" w:space="0" w:color="auto"/>
              <w:left w:val="nil"/>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1,399,453 </w:t>
            </w:r>
          </w:p>
        </w:tc>
      </w:tr>
      <w:tr w:rsidR="00EB5679" w:rsidRPr="005E4B5D">
        <w:trPr>
          <w:trHeight w:val="240"/>
        </w:trPr>
        <w:tc>
          <w:tcPr>
            <w:tcW w:w="1287"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p>
        </w:tc>
        <w:tc>
          <w:tcPr>
            <w:tcW w:w="526"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81"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03"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1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r>
      <w:tr w:rsidR="00EB5679" w:rsidRPr="005E4B5D">
        <w:trPr>
          <w:trHeight w:val="240"/>
        </w:trPr>
        <w:tc>
          <w:tcPr>
            <w:tcW w:w="1287"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i/>
                <w:iCs/>
                <w:color w:val="000000"/>
                <w:sz w:val="18"/>
                <w:szCs w:val="18"/>
                <w:lang w:val="en-AU"/>
              </w:rPr>
            </w:pPr>
            <w:r w:rsidRPr="005E4B5D">
              <w:rPr>
                <w:rFonts w:eastAsia="Times New Roman" w:cs="Arial"/>
                <w:b/>
                <w:bCs/>
                <w:i/>
                <w:iCs/>
                <w:color w:val="000000"/>
                <w:sz w:val="18"/>
                <w:szCs w:val="18"/>
                <w:lang w:val="en-AU"/>
              </w:rPr>
              <w:t>Notes:</w:t>
            </w:r>
          </w:p>
        </w:tc>
        <w:tc>
          <w:tcPr>
            <w:tcW w:w="526"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81"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03"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1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r>
      <w:tr w:rsidR="00EB5679" w:rsidRPr="005E4B5D">
        <w:trPr>
          <w:trHeight w:val="2820"/>
        </w:trPr>
        <w:tc>
          <w:tcPr>
            <w:tcW w:w="5000" w:type="pct"/>
            <w:gridSpan w:val="10"/>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r w:rsidRPr="005E4B5D">
              <w:rPr>
                <w:rFonts w:eastAsia="Times New Roman" w:cs="Arial"/>
                <w:color w:val="000000"/>
                <w:sz w:val="18"/>
                <w:szCs w:val="18"/>
                <w:lang w:val="en-AU"/>
              </w:rPr>
              <w:t>(a) Appropriations reduced under Appropriation Acts (No.1) 2013-14: sections 10, 11, and 12. Departmental appropriations do not lapse at financial year-end. However, the responsible Minister may decide that part or all of a departmental appropriation is not required and request the Finance Minister to reduce that appropriation. The reduction in the appropriation is effected by the Finance Minister's determination and is disallowable by Parliament. In 2013, there was no reduction in departmental and non-operating departmental appropriations.</w:t>
            </w:r>
            <w:r w:rsidRPr="005E4B5D">
              <w:rPr>
                <w:rFonts w:eastAsia="Times New Roman" w:cs="Arial"/>
                <w:color w:val="000000"/>
                <w:sz w:val="18"/>
                <w:szCs w:val="18"/>
                <w:lang w:val="en-AU"/>
              </w:rPr>
              <w:br/>
            </w:r>
            <w:r w:rsidRPr="005E4B5D">
              <w:rPr>
                <w:rFonts w:eastAsia="Times New Roman" w:cs="Arial"/>
                <w:color w:val="000000"/>
                <w:sz w:val="18"/>
                <w:szCs w:val="18"/>
                <w:lang w:val="en-AU"/>
              </w:rPr>
              <w:br/>
              <w:t xml:space="preserve">(b) The 2013-14 appropriation revenue reported in the statement of comprehensive income includes a net reduction in appropriations of $1,000.  The </w:t>
            </w:r>
            <w:proofErr w:type="gramStart"/>
            <w:r w:rsidRPr="005E4B5D">
              <w:rPr>
                <w:rFonts w:eastAsia="Times New Roman" w:cs="Arial"/>
                <w:color w:val="000000"/>
                <w:sz w:val="18"/>
                <w:szCs w:val="18"/>
                <w:lang w:val="en-AU"/>
              </w:rPr>
              <w:t>appropriation will be formally reduced by the Finance Minister</w:t>
            </w:r>
            <w:proofErr w:type="gramEnd"/>
            <w:r w:rsidRPr="005E4B5D">
              <w:rPr>
                <w:rFonts w:eastAsia="Times New Roman" w:cs="Arial"/>
                <w:color w:val="000000"/>
                <w:sz w:val="18"/>
                <w:szCs w:val="18"/>
                <w:lang w:val="en-AU"/>
              </w:rPr>
              <w:t xml:space="preserve"> in 2014-15.</w:t>
            </w:r>
            <w:r w:rsidRPr="005E4B5D">
              <w:rPr>
                <w:rFonts w:eastAsia="Times New Roman" w:cs="Arial"/>
                <w:color w:val="000000"/>
                <w:sz w:val="18"/>
                <w:szCs w:val="18"/>
                <w:lang w:val="en-AU"/>
              </w:rPr>
              <w:br/>
            </w:r>
            <w:r w:rsidRPr="005E4B5D">
              <w:rPr>
                <w:rFonts w:eastAsia="Times New Roman" w:cs="Arial"/>
                <w:color w:val="000000"/>
                <w:sz w:val="18"/>
                <w:szCs w:val="18"/>
                <w:lang w:val="en-AU"/>
              </w:rPr>
              <w:br/>
              <w:t>(c) There were no amounts advanced to the Finance Minister (AFM) during 2013-14 under Appropriation Acts (No.1) 2013-14: section 13.</w:t>
            </w:r>
            <w:r w:rsidRPr="005E4B5D">
              <w:rPr>
                <w:rFonts w:eastAsia="Times New Roman" w:cs="Arial"/>
                <w:color w:val="000000"/>
                <w:sz w:val="18"/>
                <w:szCs w:val="18"/>
                <w:lang w:val="en-AU"/>
              </w:rPr>
              <w:br/>
            </w:r>
            <w:r w:rsidRPr="005E4B5D">
              <w:rPr>
                <w:rFonts w:eastAsia="Times New Roman" w:cs="Arial"/>
                <w:color w:val="000000"/>
                <w:sz w:val="18"/>
                <w:szCs w:val="18"/>
                <w:lang w:val="en-AU"/>
              </w:rPr>
              <w:br/>
              <w:t xml:space="preserve">(d) Departmental Appropriations were under spent by $1,399,453 and includes equity injections of $455,000 from Appropriation Act (No.1) - Capital Budget. The variance was mainly attributable to case related activities and the number of cases referred to the Professional Services Review in 2013-14, and postponing the implementation of key ICT systems until 2014-15. </w:t>
            </w:r>
          </w:p>
        </w:tc>
      </w:tr>
      <w:tr w:rsidR="00EB5679" w:rsidRPr="005E4B5D">
        <w:trPr>
          <w:trHeight w:val="240"/>
        </w:trPr>
        <w:tc>
          <w:tcPr>
            <w:tcW w:w="1287"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p>
        </w:tc>
        <w:tc>
          <w:tcPr>
            <w:tcW w:w="526"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p>
        </w:tc>
        <w:tc>
          <w:tcPr>
            <w:tcW w:w="482"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481"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482"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314"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314"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403"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412"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299"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240"/>
        </w:trPr>
        <w:tc>
          <w:tcPr>
            <w:tcW w:w="1287" w:type="pc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3002" w:type="pct"/>
            <w:gridSpan w:val="7"/>
            <w:tcBorders>
              <w:top w:val="single" w:sz="4" w:space="0" w:color="auto"/>
              <w:left w:val="single" w:sz="4" w:space="0" w:color="auto"/>
              <w:bottom w:val="single" w:sz="4" w:space="0" w:color="auto"/>
              <w:right w:val="single" w:sz="4" w:space="0" w:color="000000"/>
            </w:tcBorders>
            <w:shd w:val="clear" w:color="auto" w:fill="auto"/>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2013 Appropriations</w:t>
            </w:r>
          </w:p>
        </w:tc>
        <w:tc>
          <w:tcPr>
            <w:tcW w:w="412"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Appropriation applied in 2013 (current and prior years)</w:t>
            </w:r>
          </w:p>
        </w:tc>
        <w:tc>
          <w:tcPr>
            <w:tcW w:w="299"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 xml:space="preserve">Variance </w:t>
            </w:r>
            <w:r w:rsidRPr="005E4B5D">
              <w:rPr>
                <w:rFonts w:eastAsia="Times New Roman" w:cs="Arial"/>
                <w:sz w:val="18"/>
                <w:szCs w:val="18"/>
                <w:vertAlign w:val="superscript"/>
                <w:lang w:val="en-AU"/>
              </w:rPr>
              <w:t>(d)</w:t>
            </w:r>
          </w:p>
        </w:tc>
      </w:tr>
      <w:tr w:rsidR="00EB5679" w:rsidRPr="005E4B5D">
        <w:trPr>
          <w:trHeight w:val="46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1489"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rsidR="00EB5679" w:rsidRPr="005E4B5D" w:rsidRDefault="00EB5679" w:rsidP="00EB5679">
            <w:pPr>
              <w:spacing w:after="0" w:line="240" w:lineRule="auto"/>
              <w:jc w:val="center"/>
              <w:rPr>
                <w:rFonts w:eastAsia="Times New Roman" w:cs="Arial"/>
                <w:i/>
                <w:iCs/>
                <w:color w:val="000000"/>
                <w:sz w:val="18"/>
                <w:szCs w:val="18"/>
                <w:lang w:val="en-AU"/>
              </w:rPr>
            </w:pPr>
            <w:r w:rsidRPr="005E4B5D">
              <w:rPr>
                <w:rFonts w:eastAsia="Times New Roman" w:cs="Arial"/>
                <w:i/>
                <w:iCs/>
                <w:color w:val="000000"/>
                <w:sz w:val="18"/>
                <w:szCs w:val="18"/>
                <w:lang w:val="en-AU"/>
              </w:rPr>
              <w:t>Appropriation Act</w:t>
            </w:r>
          </w:p>
        </w:tc>
        <w:tc>
          <w:tcPr>
            <w:tcW w:w="1110"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rsidR="00EB5679" w:rsidRPr="005E4B5D" w:rsidRDefault="00EB5679" w:rsidP="00EB5679">
            <w:pPr>
              <w:spacing w:after="0" w:line="240" w:lineRule="auto"/>
              <w:jc w:val="center"/>
              <w:rPr>
                <w:rFonts w:eastAsia="Times New Roman" w:cs="Arial"/>
                <w:i/>
                <w:iCs/>
                <w:color w:val="000000"/>
                <w:sz w:val="18"/>
                <w:szCs w:val="18"/>
                <w:lang w:val="en-AU"/>
              </w:rPr>
            </w:pPr>
            <w:r w:rsidRPr="005E4B5D">
              <w:rPr>
                <w:rFonts w:eastAsia="Times New Roman" w:cs="Arial"/>
                <w:i/>
                <w:iCs/>
                <w:color w:val="000000"/>
                <w:sz w:val="18"/>
                <w:szCs w:val="18"/>
                <w:lang w:val="en-AU"/>
              </w:rPr>
              <w:t>FMA Act</w:t>
            </w:r>
          </w:p>
        </w:tc>
        <w:tc>
          <w:tcPr>
            <w:tcW w:w="403"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Total appropriation</w:t>
            </w:r>
          </w:p>
        </w:tc>
        <w:tc>
          <w:tcPr>
            <w:tcW w:w="412"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sz w:val="18"/>
                <w:szCs w:val="18"/>
                <w:lang w:val="en-AU"/>
              </w:rPr>
            </w:pPr>
          </w:p>
        </w:tc>
        <w:tc>
          <w:tcPr>
            <w:tcW w:w="299"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44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6"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Annual Appropriation</w:t>
            </w:r>
          </w:p>
        </w:tc>
        <w:tc>
          <w:tcPr>
            <w:tcW w:w="482" w:type="pct"/>
            <w:tcBorders>
              <w:top w:val="nil"/>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 xml:space="preserve">Appropriations reduced </w:t>
            </w:r>
            <w:r w:rsidRPr="005E4B5D">
              <w:rPr>
                <w:rFonts w:eastAsia="Times New Roman" w:cs="Arial"/>
                <w:sz w:val="18"/>
                <w:szCs w:val="18"/>
                <w:vertAlign w:val="superscript"/>
                <w:lang w:val="en-AU"/>
              </w:rPr>
              <w:t>(c)</w:t>
            </w:r>
          </w:p>
        </w:tc>
        <w:tc>
          <w:tcPr>
            <w:tcW w:w="481" w:type="pct"/>
            <w:tcBorders>
              <w:top w:val="nil"/>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 xml:space="preserve">AFM </w:t>
            </w:r>
            <w:r w:rsidRPr="005E4B5D">
              <w:rPr>
                <w:rFonts w:eastAsia="Times New Roman" w:cs="Arial"/>
                <w:sz w:val="18"/>
                <w:szCs w:val="18"/>
                <w:vertAlign w:val="superscript"/>
                <w:lang w:val="en-AU"/>
              </w:rPr>
              <w:t>(b)</w:t>
            </w:r>
          </w:p>
        </w:tc>
        <w:tc>
          <w:tcPr>
            <w:tcW w:w="482"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Section 30</w:t>
            </w:r>
          </w:p>
        </w:tc>
        <w:tc>
          <w:tcPr>
            <w:tcW w:w="314" w:type="pct"/>
            <w:tcBorders>
              <w:top w:val="nil"/>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Section 31</w:t>
            </w:r>
          </w:p>
        </w:tc>
        <w:tc>
          <w:tcPr>
            <w:tcW w:w="314"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r w:rsidRPr="005E4B5D">
              <w:rPr>
                <w:rFonts w:eastAsia="Times New Roman" w:cs="Arial"/>
                <w:sz w:val="18"/>
                <w:szCs w:val="18"/>
                <w:lang w:val="en-AU"/>
              </w:rPr>
              <w:t>Section 32</w:t>
            </w:r>
          </w:p>
        </w:tc>
        <w:tc>
          <w:tcPr>
            <w:tcW w:w="403"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sz w:val="18"/>
                <w:szCs w:val="18"/>
                <w:lang w:val="en-AU"/>
              </w:rPr>
            </w:pPr>
          </w:p>
        </w:tc>
        <w:tc>
          <w:tcPr>
            <w:tcW w:w="412"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sz w:val="18"/>
                <w:szCs w:val="18"/>
                <w:lang w:val="en-AU"/>
              </w:rPr>
            </w:pPr>
          </w:p>
        </w:tc>
        <w:tc>
          <w:tcPr>
            <w:tcW w:w="299"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1287"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6" w:type="pct"/>
            <w:tcBorders>
              <w:top w:val="nil"/>
              <w:left w:val="single" w:sz="4" w:space="0" w:color="auto"/>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482" w:type="pct"/>
            <w:tcBorders>
              <w:top w:val="nil"/>
              <w:left w:val="nil"/>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481" w:type="pct"/>
            <w:tcBorders>
              <w:top w:val="nil"/>
              <w:left w:val="nil"/>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482" w:type="pct"/>
            <w:tcBorders>
              <w:top w:val="nil"/>
              <w:left w:val="single" w:sz="4" w:space="0" w:color="auto"/>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314" w:type="pct"/>
            <w:tcBorders>
              <w:top w:val="nil"/>
              <w:left w:val="nil"/>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314"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403" w:type="pct"/>
            <w:tcBorders>
              <w:top w:val="nil"/>
              <w:left w:val="single" w:sz="4" w:space="0" w:color="auto"/>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412"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299"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r>
      <w:tr w:rsidR="00EB5679" w:rsidRPr="005E4B5D">
        <w:trPr>
          <w:trHeight w:val="24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color w:val="000000"/>
                <w:sz w:val="18"/>
                <w:szCs w:val="18"/>
                <w:lang w:val="en-AU"/>
              </w:rPr>
            </w:pPr>
            <w:r w:rsidRPr="005E4B5D">
              <w:rPr>
                <w:rFonts w:eastAsia="Times New Roman" w:cs="Arial"/>
                <w:color w:val="000000"/>
                <w:sz w:val="18"/>
                <w:szCs w:val="18"/>
                <w:lang w:val="en-AU"/>
              </w:rPr>
              <w:t>DEPARTMENTAL</w:t>
            </w:r>
          </w:p>
        </w:tc>
        <w:tc>
          <w:tcPr>
            <w:tcW w:w="526"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82"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481"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482"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314" w:type="pct"/>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p>
        </w:tc>
        <w:tc>
          <w:tcPr>
            <w:tcW w:w="314"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03"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412"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299"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color w:val="000000"/>
                <w:sz w:val="18"/>
                <w:szCs w:val="18"/>
                <w:lang w:val="en-AU"/>
              </w:rPr>
            </w:pPr>
            <w:r w:rsidRPr="005E4B5D">
              <w:rPr>
                <w:rFonts w:eastAsia="Times New Roman" w:cs="Arial"/>
                <w:b/>
                <w:bCs/>
                <w:color w:val="000000"/>
                <w:sz w:val="18"/>
                <w:szCs w:val="18"/>
                <w:lang w:val="en-AU"/>
              </w:rPr>
              <w:t> </w:t>
            </w:r>
          </w:p>
        </w:tc>
      </w:tr>
      <w:tr w:rsidR="00EB5679" w:rsidRPr="005E4B5D">
        <w:trPr>
          <w:trHeight w:val="24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9F7D0F">
            <w:pPr>
              <w:spacing w:after="0" w:line="240" w:lineRule="auto"/>
              <w:ind w:firstLineChars="200" w:firstLine="280"/>
              <w:rPr>
                <w:rFonts w:eastAsia="Times New Roman" w:cs="Arial"/>
                <w:color w:val="000000"/>
                <w:sz w:val="18"/>
                <w:szCs w:val="18"/>
                <w:lang w:val="en-AU"/>
              </w:rPr>
            </w:pPr>
            <w:r w:rsidRPr="005E4B5D">
              <w:rPr>
                <w:rFonts w:eastAsia="Times New Roman" w:cs="Arial"/>
                <w:color w:val="000000"/>
                <w:sz w:val="18"/>
                <w:szCs w:val="18"/>
                <w:lang w:val="en-AU"/>
              </w:rPr>
              <w:t>Ordinary annual services</w:t>
            </w:r>
            <w:r w:rsidRPr="005E4B5D">
              <w:rPr>
                <w:rFonts w:eastAsia="Times New Roman" w:cs="Arial"/>
                <w:color w:val="000000"/>
                <w:sz w:val="18"/>
                <w:szCs w:val="18"/>
                <w:vertAlign w:val="superscript"/>
                <w:lang w:val="en-AU"/>
              </w:rPr>
              <w:t xml:space="preserve"> (a)</w:t>
            </w:r>
          </w:p>
        </w:tc>
        <w:tc>
          <w:tcPr>
            <w:tcW w:w="526" w:type="pct"/>
            <w:tcBorders>
              <w:top w:val="nil"/>
              <w:left w:val="single" w:sz="4" w:space="0" w:color="auto"/>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5,791,000 </w:t>
            </w: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481"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482" w:type="pct"/>
            <w:tcBorders>
              <w:top w:val="nil"/>
              <w:left w:val="single" w:sz="4" w:space="0" w:color="auto"/>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171,563 </w:t>
            </w:r>
          </w:p>
        </w:tc>
        <w:tc>
          <w:tcPr>
            <w:tcW w:w="314" w:type="pct"/>
            <w:tcBorders>
              <w:top w:val="nil"/>
              <w:left w:val="nil"/>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403" w:type="pct"/>
            <w:tcBorders>
              <w:top w:val="nil"/>
              <w:left w:val="single" w:sz="4" w:space="0" w:color="auto"/>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5,962,563 </w:t>
            </w:r>
          </w:p>
        </w:tc>
        <w:tc>
          <w:tcPr>
            <w:tcW w:w="412" w:type="pct"/>
            <w:tcBorders>
              <w:top w:val="nil"/>
              <w:left w:val="single" w:sz="4" w:space="0" w:color="auto"/>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(5,266,895)</w:t>
            </w:r>
          </w:p>
        </w:tc>
        <w:tc>
          <w:tcPr>
            <w:tcW w:w="299" w:type="pct"/>
            <w:tcBorders>
              <w:top w:val="nil"/>
              <w:left w:val="nil"/>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695,668 </w:t>
            </w:r>
          </w:p>
        </w:tc>
      </w:tr>
      <w:tr w:rsidR="00EB5679" w:rsidRPr="005E4B5D">
        <w:trPr>
          <w:trHeight w:val="240"/>
        </w:trPr>
        <w:tc>
          <w:tcPr>
            <w:tcW w:w="1287" w:type="pct"/>
            <w:tcBorders>
              <w:top w:val="single" w:sz="4" w:space="0" w:color="auto"/>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color w:val="000000"/>
                <w:sz w:val="18"/>
                <w:szCs w:val="18"/>
                <w:lang w:val="en-AU"/>
              </w:rPr>
            </w:pPr>
            <w:r w:rsidRPr="005E4B5D">
              <w:rPr>
                <w:rFonts w:eastAsia="Times New Roman" w:cs="Arial"/>
                <w:color w:val="000000"/>
                <w:sz w:val="18"/>
                <w:szCs w:val="18"/>
                <w:lang w:val="en-AU"/>
              </w:rPr>
              <w:t>Total departmental</w:t>
            </w:r>
          </w:p>
        </w:tc>
        <w:tc>
          <w:tcPr>
            <w:tcW w:w="526" w:type="pct"/>
            <w:tcBorders>
              <w:top w:val="single" w:sz="4" w:space="0" w:color="auto"/>
              <w:left w:val="single" w:sz="4" w:space="0" w:color="auto"/>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5,791,000 </w:t>
            </w:r>
          </w:p>
        </w:tc>
        <w:tc>
          <w:tcPr>
            <w:tcW w:w="482"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481"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482" w:type="pct"/>
            <w:tcBorders>
              <w:top w:val="single" w:sz="4" w:space="0" w:color="auto"/>
              <w:left w:val="single" w:sz="4" w:space="0" w:color="auto"/>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314"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171,563 </w:t>
            </w:r>
          </w:p>
        </w:tc>
        <w:tc>
          <w:tcPr>
            <w:tcW w:w="314" w:type="pct"/>
            <w:tcBorders>
              <w:top w:val="single" w:sz="4" w:space="0" w:color="auto"/>
              <w:left w:val="nil"/>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403" w:type="pct"/>
            <w:tcBorders>
              <w:top w:val="single" w:sz="4" w:space="0" w:color="auto"/>
              <w:left w:val="single" w:sz="4" w:space="0" w:color="auto"/>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5,962,563 </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(5,266,895)</w:t>
            </w:r>
          </w:p>
        </w:tc>
        <w:tc>
          <w:tcPr>
            <w:tcW w:w="299" w:type="pct"/>
            <w:tcBorders>
              <w:top w:val="single" w:sz="4" w:space="0" w:color="auto"/>
              <w:left w:val="nil"/>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695,668 </w:t>
            </w:r>
          </w:p>
        </w:tc>
      </w:tr>
      <w:tr w:rsidR="00EB5679" w:rsidRPr="005E4B5D">
        <w:trPr>
          <w:trHeight w:val="240"/>
        </w:trPr>
        <w:tc>
          <w:tcPr>
            <w:tcW w:w="1287" w:type="pct"/>
            <w:tcBorders>
              <w:top w:val="single" w:sz="4" w:space="0" w:color="auto"/>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6"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82"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81"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82"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314"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314"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03"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12"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299"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r>
      <w:tr w:rsidR="00EB5679" w:rsidRPr="005E4B5D">
        <w:trPr>
          <w:trHeight w:val="240"/>
        </w:trPr>
        <w:tc>
          <w:tcPr>
            <w:tcW w:w="1287"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i/>
                <w:iCs/>
                <w:color w:val="000000"/>
                <w:sz w:val="18"/>
                <w:szCs w:val="18"/>
                <w:lang w:val="en-AU"/>
              </w:rPr>
            </w:pPr>
            <w:r w:rsidRPr="005E4B5D">
              <w:rPr>
                <w:rFonts w:eastAsia="Times New Roman" w:cs="Arial"/>
                <w:b/>
                <w:bCs/>
                <w:i/>
                <w:iCs/>
                <w:color w:val="000000"/>
                <w:sz w:val="18"/>
                <w:szCs w:val="18"/>
                <w:lang w:val="en-AU"/>
              </w:rPr>
              <w:t>Notes:</w:t>
            </w:r>
          </w:p>
        </w:tc>
        <w:tc>
          <w:tcPr>
            <w:tcW w:w="526"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81"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03"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1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r>
      <w:tr w:rsidR="00EB5679" w:rsidRPr="005E4B5D">
        <w:trPr>
          <w:trHeight w:val="2320"/>
        </w:trPr>
        <w:tc>
          <w:tcPr>
            <w:tcW w:w="5000" w:type="pct"/>
            <w:gridSpan w:val="10"/>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r w:rsidRPr="005E4B5D">
              <w:rPr>
                <w:rFonts w:eastAsia="Times New Roman" w:cs="Arial"/>
                <w:color w:val="000000"/>
                <w:sz w:val="18"/>
                <w:szCs w:val="18"/>
                <w:lang w:val="en-AU"/>
              </w:rPr>
              <w:t>(a) Appropriations reduced under Appropriation Acts (No.1) 2012-13: sections 10, 11, and 12. Departmental appropriations do not lapse at financial year-end. However, the responsible Minister may decide that part or all of a departmental appropriation is not required and request the Finance Minister to reduce that appropriation. The reduction in the appropriation is effected by the Finance Minister's determination and is disallowable by Parliament. In 2013, there was no reduction in departmental and non-operating departmental appropriations.</w:t>
            </w:r>
            <w:r w:rsidRPr="005E4B5D">
              <w:rPr>
                <w:rFonts w:eastAsia="Times New Roman" w:cs="Arial"/>
                <w:color w:val="000000"/>
                <w:sz w:val="18"/>
                <w:szCs w:val="18"/>
                <w:lang w:val="en-AU"/>
              </w:rPr>
              <w:br/>
            </w:r>
            <w:r w:rsidRPr="005E4B5D">
              <w:rPr>
                <w:rFonts w:eastAsia="Times New Roman" w:cs="Arial"/>
                <w:color w:val="000000"/>
                <w:sz w:val="18"/>
                <w:szCs w:val="18"/>
                <w:lang w:val="en-AU"/>
              </w:rPr>
              <w:br/>
              <w:t>(b) There were no amounts advanced to the Finance Minister (AFM) during 2012-13 under Appropriation Acts (No.1) 2012-13: section 13.</w:t>
            </w:r>
            <w:r w:rsidRPr="005E4B5D">
              <w:rPr>
                <w:rFonts w:eastAsia="Times New Roman" w:cs="Arial"/>
                <w:color w:val="000000"/>
                <w:sz w:val="18"/>
                <w:szCs w:val="18"/>
                <w:lang w:val="en-AU"/>
              </w:rPr>
              <w:br/>
            </w:r>
            <w:r w:rsidRPr="005E4B5D">
              <w:rPr>
                <w:rFonts w:eastAsia="Times New Roman" w:cs="Arial"/>
                <w:color w:val="000000"/>
                <w:sz w:val="18"/>
                <w:szCs w:val="18"/>
                <w:lang w:val="en-AU"/>
              </w:rPr>
              <w:br/>
              <w:t xml:space="preserve">(c) Departmental Appropriations were under spent by $695,668 and includes equity injections of $32,000 from Appropriation Act (No.1) - Capital Budget. The variance was mainly attributable to case related activities only resuming in 2012-13 after cancellation of committee proceedings due to the pending Federal Court action against the Professional Services Review, and postponing the implementation of key ICT systems until 2013-14. </w:t>
            </w:r>
          </w:p>
        </w:tc>
      </w:tr>
      <w:tr w:rsidR="00EB5679" w:rsidRPr="005E4B5D">
        <w:trPr>
          <w:trHeight w:val="100"/>
        </w:trPr>
        <w:tc>
          <w:tcPr>
            <w:tcW w:w="128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526"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8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81"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8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314"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314"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03"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1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299"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trPr>
          <w:trHeight w:val="240"/>
        </w:trPr>
        <w:tc>
          <w:tcPr>
            <w:tcW w:w="5000" w:type="pct"/>
            <w:gridSpan w:val="10"/>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Table B: Departmental and Administered Capital Budgets ('Recoverable GST exclusive')</w:t>
            </w:r>
          </w:p>
        </w:tc>
      </w:tr>
      <w:tr w:rsidR="00EB5679" w:rsidRPr="005E4B5D">
        <w:trPr>
          <w:trHeight w:val="240"/>
        </w:trPr>
        <w:tc>
          <w:tcPr>
            <w:tcW w:w="128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526"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48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c>
          <w:tcPr>
            <w:tcW w:w="314"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403"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41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299"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r>
      <w:tr w:rsidR="00EB5679" w:rsidRPr="005E4B5D">
        <w:trPr>
          <w:trHeight w:val="740"/>
        </w:trPr>
        <w:tc>
          <w:tcPr>
            <w:tcW w:w="1287" w:type="pc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1971" w:type="pct"/>
            <w:gridSpan w:val="4"/>
            <w:tcBorders>
              <w:top w:val="single" w:sz="4" w:space="0" w:color="auto"/>
              <w:left w:val="single" w:sz="4" w:space="0" w:color="auto"/>
              <w:bottom w:val="single" w:sz="4" w:space="0" w:color="auto"/>
              <w:right w:val="single" w:sz="4" w:space="0" w:color="000000"/>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2014 Capital Budget Appropriations</w:t>
            </w:r>
          </w:p>
        </w:tc>
        <w:tc>
          <w:tcPr>
            <w:tcW w:w="1031"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rsidR="00EB5679" w:rsidRPr="005E4B5D" w:rsidRDefault="00EB5679" w:rsidP="00EB5679">
            <w:pPr>
              <w:spacing w:after="0" w:line="240" w:lineRule="auto"/>
              <w:jc w:val="center"/>
              <w:rPr>
                <w:rFonts w:eastAsia="Times New Roman" w:cs="Arial"/>
                <w:b/>
                <w:bCs/>
                <w:color w:val="000000"/>
                <w:sz w:val="18"/>
                <w:szCs w:val="18"/>
                <w:lang w:val="en-AU"/>
              </w:rPr>
            </w:pPr>
            <w:r w:rsidRPr="005E4B5D">
              <w:rPr>
                <w:rFonts w:eastAsia="Times New Roman" w:cs="Arial"/>
                <w:b/>
                <w:bCs/>
                <w:color w:val="000000"/>
                <w:sz w:val="18"/>
                <w:szCs w:val="18"/>
                <w:lang w:val="en-AU"/>
              </w:rPr>
              <w:t xml:space="preserve">Capital Budget Appropriations applied in </w:t>
            </w:r>
            <w:proofErr w:type="gramStart"/>
            <w:r w:rsidRPr="005E4B5D">
              <w:rPr>
                <w:rFonts w:eastAsia="Times New Roman" w:cs="Arial"/>
                <w:b/>
                <w:bCs/>
                <w:color w:val="000000"/>
                <w:sz w:val="18"/>
                <w:szCs w:val="18"/>
                <w:lang w:val="en-AU"/>
              </w:rPr>
              <w:t xml:space="preserve">2014  </w:t>
            </w:r>
            <w:proofErr w:type="gramEnd"/>
            <w:r w:rsidRPr="005E4B5D">
              <w:rPr>
                <w:rFonts w:eastAsia="Times New Roman" w:cs="Arial"/>
                <w:b/>
                <w:bCs/>
                <w:color w:val="000000"/>
                <w:sz w:val="18"/>
                <w:szCs w:val="18"/>
                <w:lang w:val="en-AU"/>
              </w:rPr>
              <w:br/>
              <w:t>(current and prior years)</w:t>
            </w:r>
          </w:p>
        </w:tc>
        <w:tc>
          <w:tcPr>
            <w:tcW w:w="412"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Variance</w:t>
            </w: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r>
      <w:tr w:rsidR="00EB5679" w:rsidRPr="005E4B5D">
        <w:trPr>
          <w:trHeight w:val="24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1008"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rsidR="00EB5679" w:rsidRPr="005E4B5D" w:rsidRDefault="00EB5679" w:rsidP="00EB5679">
            <w:pPr>
              <w:spacing w:after="0" w:line="240" w:lineRule="auto"/>
              <w:jc w:val="center"/>
              <w:rPr>
                <w:rFonts w:eastAsia="Times New Roman" w:cs="Arial"/>
                <w:b/>
                <w:bCs/>
                <w:i/>
                <w:iCs/>
                <w:color w:val="000000"/>
                <w:sz w:val="18"/>
                <w:szCs w:val="18"/>
                <w:lang w:val="en-AU"/>
              </w:rPr>
            </w:pPr>
            <w:r w:rsidRPr="005E4B5D">
              <w:rPr>
                <w:rFonts w:eastAsia="Times New Roman" w:cs="Arial"/>
                <w:b/>
                <w:bCs/>
                <w:i/>
                <w:iCs/>
                <w:color w:val="000000"/>
                <w:sz w:val="18"/>
                <w:szCs w:val="18"/>
                <w:lang w:val="en-AU"/>
              </w:rPr>
              <w:t>Appropriation Act</w:t>
            </w:r>
          </w:p>
        </w:tc>
        <w:tc>
          <w:tcPr>
            <w:tcW w:w="481" w:type="pct"/>
            <w:tcBorders>
              <w:top w:val="single" w:sz="4" w:space="0" w:color="auto"/>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b/>
                <w:bCs/>
                <w:i/>
                <w:iCs/>
                <w:color w:val="000000"/>
                <w:sz w:val="18"/>
                <w:szCs w:val="18"/>
                <w:lang w:val="en-AU"/>
              </w:rPr>
            </w:pPr>
            <w:r w:rsidRPr="005E4B5D">
              <w:rPr>
                <w:rFonts w:eastAsia="Times New Roman" w:cs="Arial"/>
                <w:b/>
                <w:bCs/>
                <w:i/>
                <w:iCs/>
                <w:color w:val="000000"/>
                <w:sz w:val="18"/>
                <w:szCs w:val="18"/>
                <w:lang w:val="en-AU"/>
              </w:rPr>
              <w:t>FMA Act</w:t>
            </w:r>
          </w:p>
        </w:tc>
        <w:tc>
          <w:tcPr>
            <w:tcW w:w="482"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Total Capital Budget Appropriations</w:t>
            </w:r>
          </w:p>
        </w:tc>
        <w:tc>
          <w:tcPr>
            <w:tcW w:w="314"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Payments for non-</w:t>
            </w:r>
            <w:proofErr w:type="gramStart"/>
            <w:r w:rsidRPr="005E4B5D">
              <w:rPr>
                <w:rFonts w:eastAsia="Times New Roman" w:cs="Arial"/>
                <w:b/>
                <w:bCs/>
                <w:sz w:val="18"/>
                <w:szCs w:val="18"/>
                <w:lang w:val="en-AU"/>
              </w:rPr>
              <w:t>financial  assets</w:t>
            </w:r>
            <w:r w:rsidRPr="005E4B5D">
              <w:rPr>
                <w:rFonts w:eastAsia="Times New Roman" w:cs="Arial"/>
                <w:b/>
                <w:bCs/>
                <w:sz w:val="18"/>
                <w:szCs w:val="18"/>
                <w:vertAlign w:val="superscript"/>
                <w:lang w:val="en-AU"/>
              </w:rPr>
              <w:t>3</w:t>
            </w:r>
            <w:proofErr w:type="gramEnd"/>
          </w:p>
        </w:tc>
        <w:tc>
          <w:tcPr>
            <w:tcW w:w="314" w:type="pct"/>
            <w:vMerge w:val="restart"/>
            <w:tcBorders>
              <w:top w:val="single" w:sz="4" w:space="0" w:color="auto"/>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Payments for other purposes</w:t>
            </w:r>
          </w:p>
        </w:tc>
        <w:tc>
          <w:tcPr>
            <w:tcW w:w="403" w:type="pct"/>
            <w:vMerge w:val="restart"/>
            <w:tcBorders>
              <w:top w:val="single" w:sz="4" w:space="0" w:color="auto"/>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Total payments </w:t>
            </w:r>
          </w:p>
        </w:tc>
        <w:tc>
          <w:tcPr>
            <w:tcW w:w="412"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r>
      <w:tr w:rsidR="00EB5679" w:rsidRPr="005E4B5D">
        <w:trPr>
          <w:trHeight w:val="70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6"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Annual Capital Budget</w:t>
            </w:r>
          </w:p>
        </w:tc>
        <w:tc>
          <w:tcPr>
            <w:tcW w:w="482"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Appropriations reduced</w:t>
            </w:r>
            <w:r w:rsidRPr="005E4B5D">
              <w:rPr>
                <w:rFonts w:eastAsia="Times New Roman" w:cs="Arial"/>
                <w:b/>
                <w:bCs/>
                <w:sz w:val="18"/>
                <w:szCs w:val="18"/>
                <w:vertAlign w:val="superscript"/>
                <w:lang w:val="en-AU"/>
              </w:rPr>
              <w:t>2</w:t>
            </w:r>
          </w:p>
        </w:tc>
        <w:tc>
          <w:tcPr>
            <w:tcW w:w="481"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Section 32</w:t>
            </w:r>
          </w:p>
        </w:tc>
        <w:tc>
          <w:tcPr>
            <w:tcW w:w="482"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314"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314" w:type="pct"/>
            <w:vMerge/>
            <w:tcBorders>
              <w:top w:val="single" w:sz="4" w:space="0" w:color="auto"/>
              <w:left w:val="nil"/>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403" w:type="pct"/>
            <w:vMerge/>
            <w:tcBorders>
              <w:top w:val="single" w:sz="4" w:space="0" w:color="auto"/>
              <w:left w:val="nil"/>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412"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r>
      <w:tr w:rsidR="00EB5679" w:rsidRPr="005E4B5D">
        <w:trPr>
          <w:trHeight w:val="240"/>
        </w:trPr>
        <w:tc>
          <w:tcPr>
            <w:tcW w:w="1287"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6" w:type="pct"/>
            <w:tcBorders>
              <w:top w:val="nil"/>
              <w:left w:val="single" w:sz="4" w:space="0" w:color="auto"/>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82"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81"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82"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314"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314"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03"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12"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r>
      <w:tr w:rsidR="00EB5679" w:rsidRPr="005E4B5D">
        <w:trPr>
          <w:trHeight w:val="24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DEPARTMENTAL</w:t>
            </w:r>
          </w:p>
        </w:tc>
        <w:tc>
          <w:tcPr>
            <w:tcW w:w="526"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82"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81"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82"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314" w:type="pc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314"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403"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412"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r>
      <w:tr w:rsidR="00EB5679" w:rsidRPr="005E4B5D">
        <w:trPr>
          <w:trHeight w:val="440"/>
        </w:trPr>
        <w:tc>
          <w:tcPr>
            <w:tcW w:w="1287" w:type="pct"/>
            <w:tcBorders>
              <w:top w:val="nil"/>
              <w:left w:val="single" w:sz="4" w:space="0" w:color="auto"/>
              <w:bottom w:val="nil"/>
              <w:right w:val="single" w:sz="4" w:space="0" w:color="auto"/>
            </w:tcBorders>
            <w:shd w:val="clear" w:color="auto" w:fill="auto"/>
            <w:vAlign w:val="bottom"/>
          </w:tcPr>
          <w:p w:rsidR="00EB5679" w:rsidRPr="005E4B5D" w:rsidRDefault="00EB5679" w:rsidP="009F7D0F">
            <w:pPr>
              <w:spacing w:after="0" w:line="240" w:lineRule="auto"/>
              <w:ind w:firstLineChars="200" w:firstLine="280"/>
              <w:rPr>
                <w:rFonts w:eastAsia="Times New Roman" w:cs="Arial"/>
                <w:b/>
                <w:bCs/>
                <w:color w:val="000000"/>
                <w:sz w:val="18"/>
                <w:szCs w:val="18"/>
                <w:lang w:val="en-AU"/>
              </w:rPr>
            </w:pPr>
            <w:r w:rsidRPr="005E4B5D">
              <w:rPr>
                <w:rFonts w:eastAsia="Times New Roman" w:cs="Arial"/>
                <w:b/>
                <w:bCs/>
                <w:color w:val="000000"/>
                <w:sz w:val="18"/>
                <w:szCs w:val="18"/>
                <w:lang w:val="en-AU"/>
              </w:rPr>
              <w:t>Ordinary annual services</w:t>
            </w:r>
            <w:r w:rsidRPr="005E4B5D">
              <w:rPr>
                <w:rFonts w:eastAsia="Times New Roman" w:cs="Arial"/>
                <w:color w:val="000000"/>
                <w:sz w:val="18"/>
                <w:szCs w:val="18"/>
                <w:lang w:val="en-AU"/>
              </w:rPr>
              <w:t xml:space="preserve"> - Departmental Capital Budget</w:t>
            </w:r>
            <w:r w:rsidRPr="005E4B5D">
              <w:rPr>
                <w:rFonts w:eastAsia="Times New Roman" w:cs="Arial"/>
                <w:color w:val="000000"/>
                <w:sz w:val="18"/>
                <w:szCs w:val="18"/>
                <w:vertAlign w:val="superscript"/>
                <w:lang w:val="en-AU"/>
              </w:rPr>
              <w:t>1</w:t>
            </w:r>
          </w:p>
        </w:tc>
        <w:tc>
          <w:tcPr>
            <w:tcW w:w="526" w:type="pct"/>
            <w:tcBorders>
              <w:top w:val="nil"/>
              <w:left w:val="single" w:sz="4" w:space="0" w:color="auto"/>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455,000 </w:t>
            </w:r>
          </w:p>
        </w:tc>
        <w:tc>
          <w:tcPr>
            <w:tcW w:w="482" w:type="pct"/>
            <w:tcBorders>
              <w:top w:val="nil"/>
              <w:left w:val="nil"/>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481" w:type="pct"/>
            <w:tcBorders>
              <w:top w:val="nil"/>
              <w:left w:val="nil"/>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482" w:type="pct"/>
            <w:tcBorders>
              <w:top w:val="nil"/>
              <w:left w:val="single" w:sz="4" w:space="0" w:color="auto"/>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455,000 </w:t>
            </w:r>
          </w:p>
        </w:tc>
        <w:tc>
          <w:tcPr>
            <w:tcW w:w="314" w:type="pct"/>
            <w:tcBorders>
              <w:top w:val="nil"/>
              <w:left w:val="single" w:sz="4" w:space="0" w:color="auto"/>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(95,560)</w:t>
            </w:r>
          </w:p>
        </w:tc>
        <w:tc>
          <w:tcPr>
            <w:tcW w:w="314" w:type="pct"/>
            <w:tcBorders>
              <w:top w:val="nil"/>
              <w:left w:val="nil"/>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403" w:type="pct"/>
            <w:tcBorders>
              <w:top w:val="nil"/>
              <w:left w:val="nil"/>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(95,560)</w:t>
            </w:r>
          </w:p>
        </w:tc>
        <w:tc>
          <w:tcPr>
            <w:tcW w:w="412" w:type="pct"/>
            <w:tcBorders>
              <w:top w:val="nil"/>
              <w:left w:val="nil"/>
              <w:bottom w:val="nil"/>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359,440 </w:t>
            </w: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1287" w:type="pct"/>
            <w:tcBorders>
              <w:top w:val="single" w:sz="4" w:space="0" w:color="auto"/>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6" w:type="pct"/>
            <w:tcBorders>
              <w:top w:val="single" w:sz="4" w:space="0" w:color="auto"/>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482"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81"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82"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314"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314"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03"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12"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20"/>
                <w:szCs w:val="20"/>
                <w:lang w:val="en-AU"/>
              </w:rPr>
            </w:pPr>
          </w:p>
        </w:tc>
      </w:tr>
      <w:tr w:rsidR="00EB5679" w:rsidRPr="005E4B5D">
        <w:trPr>
          <w:trHeight w:val="240"/>
        </w:trPr>
        <w:tc>
          <w:tcPr>
            <w:tcW w:w="1287"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i/>
                <w:iCs/>
                <w:color w:val="000000"/>
                <w:sz w:val="18"/>
                <w:szCs w:val="18"/>
                <w:lang w:val="en-AU"/>
              </w:rPr>
            </w:pPr>
            <w:r w:rsidRPr="005E4B5D">
              <w:rPr>
                <w:rFonts w:eastAsia="Times New Roman" w:cs="Arial"/>
                <w:b/>
                <w:bCs/>
                <w:i/>
                <w:iCs/>
                <w:color w:val="000000"/>
                <w:sz w:val="18"/>
                <w:szCs w:val="18"/>
                <w:lang w:val="en-AU"/>
              </w:rPr>
              <w:t>Notes:</w:t>
            </w:r>
          </w:p>
        </w:tc>
        <w:tc>
          <w:tcPr>
            <w:tcW w:w="526"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i/>
                <w:iCs/>
                <w:color w:val="000000"/>
                <w:sz w:val="18"/>
                <w:szCs w:val="18"/>
                <w:lang w:val="en-AU"/>
              </w:rPr>
            </w:pPr>
          </w:p>
        </w:tc>
        <w:tc>
          <w:tcPr>
            <w:tcW w:w="482"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p>
        </w:tc>
        <w:tc>
          <w:tcPr>
            <w:tcW w:w="481"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8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14"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03"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12"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99"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r>
      <w:tr w:rsidR="00EB5679" w:rsidRPr="005E4B5D">
        <w:trPr>
          <w:trHeight w:val="1560"/>
        </w:trPr>
        <w:tc>
          <w:tcPr>
            <w:tcW w:w="4701" w:type="pct"/>
            <w:gridSpan w:val="9"/>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r w:rsidRPr="005E4B5D">
              <w:rPr>
                <w:rFonts w:eastAsia="Times New Roman" w:cs="Arial"/>
                <w:color w:val="000000"/>
                <w:sz w:val="18"/>
                <w:szCs w:val="18"/>
                <w:lang w:val="en-AU"/>
              </w:rPr>
              <w:t xml:space="preserve">1. Departmental Capital Budgets are appropriated through Appropriation Acts (No.1). They form part of ordinary annual services, and are not separately identified in the Appropriation Acts. For more information on ordinary annual services appropriations, please see Table A: Annual appropriations. </w:t>
            </w:r>
            <w:r w:rsidRPr="005E4B5D">
              <w:rPr>
                <w:rFonts w:eastAsia="Times New Roman" w:cs="Arial"/>
                <w:color w:val="000000"/>
                <w:sz w:val="18"/>
                <w:szCs w:val="18"/>
                <w:lang w:val="en-AU"/>
              </w:rPr>
              <w:br/>
            </w:r>
            <w:r w:rsidRPr="005E4B5D">
              <w:rPr>
                <w:rFonts w:eastAsia="Times New Roman" w:cs="Arial"/>
                <w:color w:val="000000"/>
                <w:sz w:val="18"/>
                <w:szCs w:val="18"/>
                <w:lang w:val="en-AU"/>
              </w:rPr>
              <w:br/>
              <w:t>2. There were no amounts advanced to the Finance Minister (AFM) during 2013-14 under Appropriation Acts (No.1) 2013-14: section 13.</w:t>
            </w:r>
            <w:r w:rsidRPr="005E4B5D">
              <w:rPr>
                <w:rFonts w:eastAsia="Times New Roman" w:cs="Arial"/>
                <w:color w:val="000000"/>
                <w:sz w:val="18"/>
                <w:szCs w:val="18"/>
                <w:lang w:val="en-AU"/>
              </w:rPr>
              <w:br/>
            </w:r>
            <w:r w:rsidRPr="005E4B5D">
              <w:rPr>
                <w:rFonts w:eastAsia="Times New Roman" w:cs="Arial"/>
                <w:color w:val="000000"/>
                <w:sz w:val="18"/>
                <w:szCs w:val="18"/>
                <w:lang w:val="en-AU"/>
              </w:rPr>
              <w:br/>
              <w:t xml:space="preserve">3. Payments made on non-financial assets include purchases of assets, and expenditure on </w:t>
            </w:r>
            <w:proofErr w:type="gramStart"/>
            <w:r w:rsidRPr="005E4B5D">
              <w:rPr>
                <w:rFonts w:eastAsia="Times New Roman" w:cs="Arial"/>
                <w:color w:val="000000"/>
                <w:sz w:val="18"/>
                <w:szCs w:val="18"/>
                <w:lang w:val="en-AU"/>
              </w:rPr>
              <w:t>assets which</w:t>
            </w:r>
            <w:proofErr w:type="gramEnd"/>
            <w:r w:rsidRPr="005E4B5D">
              <w:rPr>
                <w:rFonts w:eastAsia="Times New Roman" w:cs="Arial"/>
                <w:color w:val="000000"/>
                <w:sz w:val="18"/>
                <w:szCs w:val="18"/>
                <w:lang w:val="en-AU"/>
              </w:rPr>
              <w:t xml:space="preserve"> have been capitalised.</w:t>
            </w:r>
          </w:p>
        </w:tc>
        <w:tc>
          <w:tcPr>
            <w:tcW w:w="299"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bl>
    <w:p w:rsidR="005E4B5D" w:rsidRDefault="005E4B5D">
      <w:r>
        <w:br w:type="page"/>
      </w:r>
    </w:p>
    <w:tbl>
      <w:tblPr>
        <w:tblW w:w="5000" w:type="pct"/>
        <w:tblLook w:val="04A0"/>
      </w:tblPr>
      <w:tblGrid>
        <w:gridCol w:w="4081"/>
        <w:gridCol w:w="1658"/>
        <w:gridCol w:w="1519"/>
        <w:gridCol w:w="1516"/>
        <w:gridCol w:w="1519"/>
        <w:gridCol w:w="1067"/>
        <w:gridCol w:w="1067"/>
        <w:gridCol w:w="1267"/>
        <w:gridCol w:w="1296"/>
        <w:gridCol w:w="930"/>
      </w:tblGrid>
      <w:tr w:rsidR="00EB5679" w:rsidRPr="005E4B5D" w:rsidTr="001E2C73">
        <w:trPr>
          <w:trHeight w:val="240"/>
        </w:trPr>
        <w:tc>
          <w:tcPr>
            <w:tcW w:w="128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521"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7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76"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7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335"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335"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398"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0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740"/>
        </w:trPr>
        <w:tc>
          <w:tcPr>
            <w:tcW w:w="1282" w:type="pc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1951" w:type="pct"/>
            <w:gridSpan w:val="4"/>
            <w:tcBorders>
              <w:top w:val="single" w:sz="4" w:space="0" w:color="auto"/>
              <w:left w:val="single" w:sz="4" w:space="0" w:color="auto"/>
              <w:bottom w:val="single" w:sz="4" w:space="0" w:color="auto"/>
              <w:right w:val="single" w:sz="4" w:space="0" w:color="000000"/>
            </w:tcBorders>
            <w:shd w:val="clear" w:color="auto" w:fill="auto"/>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2013 Capital Budget Appropriations</w:t>
            </w:r>
          </w:p>
        </w:tc>
        <w:tc>
          <w:tcPr>
            <w:tcW w:w="1068"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rsidR="00EB5679" w:rsidRPr="005E4B5D" w:rsidRDefault="00EB5679" w:rsidP="00EB5679">
            <w:pPr>
              <w:spacing w:after="0" w:line="240" w:lineRule="auto"/>
              <w:jc w:val="center"/>
              <w:rPr>
                <w:rFonts w:eastAsia="Times New Roman" w:cs="Arial"/>
                <w:b/>
                <w:bCs/>
                <w:color w:val="000000"/>
                <w:sz w:val="18"/>
                <w:szCs w:val="18"/>
                <w:lang w:val="en-AU"/>
              </w:rPr>
            </w:pPr>
            <w:r w:rsidRPr="005E4B5D">
              <w:rPr>
                <w:rFonts w:eastAsia="Times New Roman" w:cs="Arial"/>
                <w:b/>
                <w:bCs/>
                <w:color w:val="000000"/>
                <w:sz w:val="18"/>
                <w:szCs w:val="18"/>
                <w:lang w:val="en-AU"/>
              </w:rPr>
              <w:t xml:space="preserve">Capital Budget Appropriations applied in 2013 </w:t>
            </w:r>
            <w:r w:rsidRPr="005E4B5D">
              <w:rPr>
                <w:rFonts w:eastAsia="Times New Roman" w:cs="Arial"/>
                <w:b/>
                <w:bCs/>
                <w:color w:val="000000"/>
                <w:sz w:val="18"/>
                <w:szCs w:val="18"/>
                <w:lang w:val="en-AU"/>
              </w:rPr>
              <w:br/>
              <w:t>(current and prior years)</w:t>
            </w:r>
          </w:p>
        </w:tc>
        <w:tc>
          <w:tcPr>
            <w:tcW w:w="407"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Variance</w:t>
            </w: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240"/>
        </w:trPr>
        <w:tc>
          <w:tcPr>
            <w:tcW w:w="1282"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998"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rsidR="00EB5679" w:rsidRPr="005E4B5D" w:rsidRDefault="00EB5679" w:rsidP="00EB5679">
            <w:pPr>
              <w:spacing w:after="0" w:line="240" w:lineRule="auto"/>
              <w:jc w:val="center"/>
              <w:rPr>
                <w:rFonts w:eastAsia="Times New Roman" w:cs="Arial"/>
                <w:b/>
                <w:bCs/>
                <w:i/>
                <w:iCs/>
                <w:color w:val="000000"/>
                <w:sz w:val="18"/>
                <w:szCs w:val="18"/>
                <w:lang w:val="en-AU"/>
              </w:rPr>
            </w:pPr>
            <w:r w:rsidRPr="005E4B5D">
              <w:rPr>
                <w:rFonts w:eastAsia="Times New Roman" w:cs="Arial"/>
                <w:b/>
                <w:bCs/>
                <w:i/>
                <w:iCs/>
                <w:color w:val="000000"/>
                <w:sz w:val="18"/>
                <w:szCs w:val="18"/>
                <w:lang w:val="en-AU"/>
              </w:rPr>
              <w:t>Appropriation Act</w:t>
            </w:r>
          </w:p>
        </w:tc>
        <w:tc>
          <w:tcPr>
            <w:tcW w:w="476" w:type="pct"/>
            <w:tcBorders>
              <w:top w:val="single" w:sz="4" w:space="0" w:color="auto"/>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b/>
                <w:bCs/>
                <w:i/>
                <w:iCs/>
                <w:color w:val="000000"/>
                <w:sz w:val="18"/>
                <w:szCs w:val="18"/>
                <w:lang w:val="en-AU"/>
              </w:rPr>
            </w:pPr>
            <w:r w:rsidRPr="005E4B5D">
              <w:rPr>
                <w:rFonts w:eastAsia="Times New Roman" w:cs="Arial"/>
                <w:b/>
                <w:bCs/>
                <w:i/>
                <w:iCs/>
                <w:color w:val="000000"/>
                <w:sz w:val="18"/>
                <w:szCs w:val="18"/>
                <w:lang w:val="en-AU"/>
              </w:rPr>
              <w:t>FMA Act</w:t>
            </w:r>
          </w:p>
        </w:tc>
        <w:tc>
          <w:tcPr>
            <w:tcW w:w="477"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Total Capital Budget Appropriations</w:t>
            </w:r>
          </w:p>
        </w:tc>
        <w:tc>
          <w:tcPr>
            <w:tcW w:w="335" w:type="pct"/>
            <w:vMerge w:val="restar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Payments for non-</w:t>
            </w:r>
            <w:proofErr w:type="gramStart"/>
            <w:r w:rsidRPr="005E4B5D">
              <w:rPr>
                <w:rFonts w:eastAsia="Times New Roman" w:cs="Arial"/>
                <w:b/>
                <w:bCs/>
                <w:sz w:val="18"/>
                <w:szCs w:val="18"/>
                <w:lang w:val="en-AU"/>
              </w:rPr>
              <w:t>financial  assets</w:t>
            </w:r>
            <w:r w:rsidRPr="005E4B5D">
              <w:rPr>
                <w:rFonts w:eastAsia="Times New Roman" w:cs="Arial"/>
                <w:b/>
                <w:bCs/>
                <w:sz w:val="18"/>
                <w:szCs w:val="18"/>
                <w:vertAlign w:val="superscript"/>
                <w:lang w:val="en-AU"/>
              </w:rPr>
              <w:t>3</w:t>
            </w:r>
            <w:proofErr w:type="gramEnd"/>
          </w:p>
        </w:tc>
        <w:tc>
          <w:tcPr>
            <w:tcW w:w="335" w:type="pct"/>
            <w:vMerge w:val="restart"/>
            <w:tcBorders>
              <w:top w:val="single" w:sz="4" w:space="0" w:color="auto"/>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Payments for other purposes</w:t>
            </w:r>
          </w:p>
        </w:tc>
        <w:tc>
          <w:tcPr>
            <w:tcW w:w="398" w:type="pct"/>
            <w:vMerge w:val="restart"/>
            <w:tcBorders>
              <w:top w:val="single" w:sz="4" w:space="0" w:color="auto"/>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Total payments </w:t>
            </w:r>
          </w:p>
        </w:tc>
        <w:tc>
          <w:tcPr>
            <w:tcW w:w="407"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440"/>
        </w:trPr>
        <w:tc>
          <w:tcPr>
            <w:tcW w:w="1282"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1"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Annual Capital Budget</w:t>
            </w:r>
          </w:p>
        </w:tc>
        <w:tc>
          <w:tcPr>
            <w:tcW w:w="477"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Appropriations reduced</w:t>
            </w:r>
            <w:r w:rsidRPr="005E4B5D">
              <w:rPr>
                <w:rFonts w:eastAsia="Times New Roman" w:cs="Arial"/>
                <w:b/>
                <w:bCs/>
                <w:sz w:val="18"/>
                <w:szCs w:val="18"/>
                <w:vertAlign w:val="superscript"/>
                <w:lang w:val="en-AU"/>
              </w:rPr>
              <w:t>2</w:t>
            </w:r>
          </w:p>
        </w:tc>
        <w:tc>
          <w:tcPr>
            <w:tcW w:w="476"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Section 32</w:t>
            </w:r>
          </w:p>
        </w:tc>
        <w:tc>
          <w:tcPr>
            <w:tcW w:w="477"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335"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335" w:type="pct"/>
            <w:vMerge/>
            <w:tcBorders>
              <w:top w:val="single" w:sz="4" w:space="0" w:color="auto"/>
              <w:left w:val="nil"/>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398" w:type="pct"/>
            <w:vMerge/>
            <w:tcBorders>
              <w:top w:val="single" w:sz="4" w:space="0" w:color="auto"/>
              <w:left w:val="nil"/>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407" w:type="pct"/>
            <w:vMerge/>
            <w:tcBorders>
              <w:top w:val="single" w:sz="4" w:space="0" w:color="auto"/>
              <w:left w:val="single" w:sz="4" w:space="0" w:color="auto"/>
              <w:bottom w:val="nil"/>
              <w:right w:val="single" w:sz="4" w:space="0" w:color="auto"/>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240"/>
        </w:trPr>
        <w:tc>
          <w:tcPr>
            <w:tcW w:w="1282"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center"/>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521" w:type="pct"/>
            <w:tcBorders>
              <w:top w:val="nil"/>
              <w:left w:val="single" w:sz="4" w:space="0" w:color="auto"/>
              <w:bottom w:val="single" w:sz="4" w:space="0" w:color="auto"/>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77"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76"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77"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335"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335"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398" w:type="pct"/>
            <w:tcBorders>
              <w:top w:val="nil"/>
              <w:left w:val="nil"/>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407"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240"/>
        </w:trPr>
        <w:tc>
          <w:tcPr>
            <w:tcW w:w="1282"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r w:rsidRPr="005E4B5D">
              <w:rPr>
                <w:rFonts w:eastAsia="Times New Roman" w:cs="Arial"/>
                <w:b/>
                <w:bCs/>
                <w:color w:val="000000"/>
                <w:sz w:val="18"/>
                <w:szCs w:val="18"/>
                <w:lang w:val="en-AU"/>
              </w:rPr>
              <w:t>DEPARTMENTAL</w:t>
            </w:r>
          </w:p>
        </w:tc>
        <w:tc>
          <w:tcPr>
            <w:tcW w:w="521" w:type="pct"/>
            <w:tcBorders>
              <w:top w:val="nil"/>
              <w:left w:val="single" w:sz="4" w:space="0" w:color="auto"/>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77"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76"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77" w:type="pct"/>
            <w:tcBorders>
              <w:top w:val="nil"/>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335" w:type="pct"/>
            <w:tcBorders>
              <w:top w:val="single" w:sz="4" w:space="0" w:color="auto"/>
              <w:left w:val="single" w:sz="4" w:space="0" w:color="auto"/>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335"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398"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b/>
                <w:bCs/>
                <w:color w:val="000000"/>
                <w:sz w:val="18"/>
                <w:szCs w:val="18"/>
                <w:lang w:val="en-AU"/>
              </w:rPr>
            </w:pPr>
            <w:r w:rsidRPr="005E4B5D">
              <w:rPr>
                <w:rFonts w:eastAsia="Times New Roman" w:cs="Arial"/>
                <w:b/>
                <w:bCs/>
                <w:color w:val="000000"/>
                <w:sz w:val="18"/>
                <w:szCs w:val="18"/>
                <w:lang w:val="en-AU"/>
              </w:rPr>
              <w:t> </w:t>
            </w:r>
          </w:p>
        </w:tc>
        <w:tc>
          <w:tcPr>
            <w:tcW w:w="407" w:type="pct"/>
            <w:tcBorders>
              <w:top w:val="nil"/>
              <w:left w:val="nil"/>
              <w:bottom w:val="nil"/>
              <w:right w:val="single" w:sz="4" w:space="0" w:color="auto"/>
            </w:tcBorders>
            <w:shd w:val="clear" w:color="auto" w:fill="auto"/>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440"/>
        </w:trPr>
        <w:tc>
          <w:tcPr>
            <w:tcW w:w="1282" w:type="pct"/>
            <w:tcBorders>
              <w:top w:val="nil"/>
              <w:left w:val="single" w:sz="4" w:space="0" w:color="auto"/>
              <w:bottom w:val="single" w:sz="4" w:space="0" w:color="auto"/>
              <w:right w:val="single" w:sz="4" w:space="0" w:color="auto"/>
            </w:tcBorders>
            <w:shd w:val="clear" w:color="auto" w:fill="auto"/>
            <w:vAlign w:val="bottom"/>
          </w:tcPr>
          <w:p w:rsidR="00EB5679" w:rsidRPr="005E4B5D" w:rsidRDefault="00EB5679" w:rsidP="009F7D0F">
            <w:pPr>
              <w:spacing w:after="0" w:line="240" w:lineRule="auto"/>
              <w:ind w:firstLineChars="200" w:firstLine="280"/>
              <w:rPr>
                <w:rFonts w:eastAsia="Times New Roman" w:cs="Arial"/>
                <w:b/>
                <w:bCs/>
                <w:color w:val="000000"/>
                <w:sz w:val="18"/>
                <w:szCs w:val="18"/>
                <w:lang w:val="en-AU"/>
              </w:rPr>
            </w:pPr>
            <w:r w:rsidRPr="005E4B5D">
              <w:rPr>
                <w:rFonts w:eastAsia="Times New Roman" w:cs="Arial"/>
                <w:b/>
                <w:bCs/>
                <w:color w:val="000000"/>
                <w:sz w:val="18"/>
                <w:szCs w:val="18"/>
                <w:lang w:val="en-AU"/>
              </w:rPr>
              <w:t>Ordinary annual services</w:t>
            </w:r>
            <w:r w:rsidRPr="005E4B5D">
              <w:rPr>
                <w:rFonts w:eastAsia="Times New Roman" w:cs="Arial"/>
                <w:color w:val="000000"/>
                <w:sz w:val="18"/>
                <w:szCs w:val="18"/>
                <w:lang w:val="en-AU"/>
              </w:rPr>
              <w:t xml:space="preserve"> - Departmental Capital Budget</w:t>
            </w:r>
            <w:r w:rsidRPr="005E4B5D">
              <w:rPr>
                <w:rFonts w:eastAsia="Times New Roman" w:cs="Arial"/>
                <w:color w:val="000000"/>
                <w:sz w:val="18"/>
                <w:szCs w:val="18"/>
                <w:vertAlign w:val="superscript"/>
                <w:lang w:val="en-AU"/>
              </w:rPr>
              <w:t>1</w:t>
            </w:r>
          </w:p>
        </w:tc>
        <w:tc>
          <w:tcPr>
            <w:tcW w:w="521" w:type="pct"/>
            <w:tcBorders>
              <w:top w:val="nil"/>
              <w:left w:val="single" w:sz="4" w:space="0" w:color="auto"/>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32,000 </w:t>
            </w:r>
          </w:p>
        </w:tc>
        <w:tc>
          <w:tcPr>
            <w:tcW w:w="477" w:type="pct"/>
            <w:tcBorders>
              <w:top w:val="nil"/>
              <w:left w:val="nil"/>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476" w:type="pct"/>
            <w:tcBorders>
              <w:top w:val="nil"/>
              <w:left w:val="nil"/>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477" w:type="pct"/>
            <w:tcBorders>
              <w:top w:val="nil"/>
              <w:left w:val="single" w:sz="4" w:space="0" w:color="auto"/>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32,000 </w:t>
            </w:r>
          </w:p>
        </w:tc>
        <w:tc>
          <w:tcPr>
            <w:tcW w:w="335" w:type="pct"/>
            <w:tcBorders>
              <w:top w:val="nil"/>
              <w:left w:val="single" w:sz="4" w:space="0" w:color="auto"/>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(147,865)</w:t>
            </w:r>
          </w:p>
        </w:tc>
        <w:tc>
          <w:tcPr>
            <w:tcW w:w="335" w:type="pct"/>
            <w:tcBorders>
              <w:top w:val="nil"/>
              <w:left w:val="nil"/>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c>
          <w:tcPr>
            <w:tcW w:w="398" w:type="pct"/>
            <w:tcBorders>
              <w:top w:val="nil"/>
              <w:left w:val="nil"/>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(147,865)</w:t>
            </w:r>
          </w:p>
        </w:tc>
        <w:tc>
          <w:tcPr>
            <w:tcW w:w="407" w:type="pct"/>
            <w:tcBorders>
              <w:top w:val="nil"/>
              <w:left w:val="nil"/>
              <w:bottom w:val="single" w:sz="4" w:space="0" w:color="auto"/>
              <w:right w:val="single" w:sz="4" w:space="0" w:color="auto"/>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(115,865)</w:t>
            </w: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i/>
                <w:iCs/>
                <w:color w:val="000000"/>
                <w:sz w:val="18"/>
                <w:szCs w:val="18"/>
                <w:lang w:val="en-AU"/>
              </w:rPr>
            </w:pPr>
            <w:r w:rsidRPr="005E4B5D">
              <w:rPr>
                <w:rFonts w:eastAsia="Times New Roman" w:cs="Arial"/>
                <w:b/>
                <w:bCs/>
                <w:i/>
                <w:iCs/>
                <w:color w:val="000000"/>
                <w:sz w:val="18"/>
                <w:szCs w:val="18"/>
                <w:lang w:val="en-AU"/>
              </w:rPr>
              <w:t>Notes:</w:t>
            </w:r>
          </w:p>
        </w:tc>
        <w:tc>
          <w:tcPr>
            <w:tcW w:w="521"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i/>
                <w:iCs/>
                <w:color w:val="000000"/>
                <w:sz w:val="18"/>
                <w:szCs w:val="18"/>
                <w:lang w:val="en-AU"/>
              </w:rPr>
            </w:pPr>
          </w:p>
        </w:tc>
        <w:tc>
          <w:tcPr>
            <w:tcW w:w="477" w:type="pct"/>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b/>
                <w:bCs/>
                <w:color w:val="000000"/>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1960"/>
        </w:trPr>
        <w:tc>
          <w:tcPr>
            <w:tcW w:w="4708" w:type="pct"/>
            <w:gridSpan w:val="9"/>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r w:rsidRPr="005E4B5D">
              <w:rPr>
                <w:rFonts w:eastAsia="Times New Roman" w:cs="Arial"/>
                <w:color w:val="000000"/>
                <w:sz w:val="18"/>
                <w:szCs w:val="18"/>
                <w:lang w:val="en-AU"/>
              </w:rPr>
              <w:t xml:space="preserve">1. Departmental Capital Budgets are appropriated through Appropriation Acts (No.1). They form part of ordinary annual services, and are not separately identified in the Appropriation Acts. For more information on ordinary annual services appropriations, please see Table A: Annual appropriations. </w:t>
            </w:r>
            <w:r w:rsidRPr="005E4B5D">
              <w:rPr>
                <w:rFonts w:eastAsia="Times New Roman" w:cs="Arial"/>
                <w:color w:val="000000"/>
                <w:sz w:val="18"/>
                <w:szCs w:val="18"/>
                <w:lang w:val="en-AU"/>
              </w:rPr>
              <w:br/>
            </w:r>
            <w:r w:rsidRPr="005E4B5D">
              <w:rPr>
                <w:rFonts w:eastAsia="Times New Roman" w:cs="Arial"/>
                <w:color w:val="000000"/>
                <w:sz w:val="18"/>
                <w:szCs w:val="18"/>
                <w:lang w:val="en-AU"/>
              </w:rPr>
              <w:br/>
              <w:t>2. There were no amounts advanced to the Fin</w:t>
            </w:r>
            <w:r w:rsidR="0041087D">
              <w:rPr>
                <w:rFonts w:eastAsia="Times New Roman" w:cs="Arial"/>
                <w:color w:val="000000"/>
                <w:sz w:val="18"/>
                <w:szCs w:val="18"/>
                <w:lang w:val="en-AU"/>
              </w:rPr>
              <w:t>ance Minister (AFM) during 2012–</w:t>
            </w:r>
            <w:r w:rsidRPr="005E4B5D">
              <w:rPr>
                <w:rFonts w:eastAsia="Times New Roman" w:cs="Arial"/>
                <w:color w:val="000000"/>
                <w:sz w:val="18"/>
                <w:szCs w:val="18"/>
                <w:lang w:val="en-AU"/>
              </w:rPr>
              <w:t>13 under Appropriation Acts (No.1) 2012-13: section 13.</w:t>
            </w:r>
            <w:r w:rsidRPr="005E4B5D">
              <w:rPr>
                <w:rFonts w:eastAsia="Times New Roman" w:cs="Arial"/>
                <w:color w:val="000000"/>
                <w:sz w:val="18"/>
                <w:szCs w:val="18"/>
                <w:lang w:val="en-AU"/>
              </w:rPr>
              <w:br/>
            </w:r>
            <w:r w:rsidRPr="005E4B5D">
              <w:rPr>
                <w:rFonts w:eastAsia="Times New Roman" w:cs="Arial"/>
                <w:color w:val="000000"/>
                <w:sz w:val="18"/>
                <w:szCs w:val="18"/>
                <w:lang w:val="en-AU"/>
              </w:rPr>
              <w:br/>
              <w:t xml:space="preserve">3. Payments made on non-financial assets include purchases of assets, expenditure on </w:t>
            </w:r>
            <w:proofErr w:type="gramStart"/>
            <w:r w:rsidRPr="005E4B5D">
              <w:rPr>
                <w:rFonts w:eastAsia="Times New Roman" w:cs="Arial"/>
                <w:color w:val="000000"/>
                <w:sz w:val="18"/>
                <w:szCs w:val="18"/>
                <w:lang w:val="en-AU"/>
              </w:rPr>
              <w:t>assets which</w:t>
            </w:r>
            <w:proofErr w:type="gramEnd"/>
            <w:r w:rsidRPr="005E4B5D">
              <w:rPr>
                <w:rFonts w:eastAsia="Times New Roman" w:cs="Arial"/>
                <w:color w:val="000000"/>
                <w:sz w:val="18"/>
                <w:szCs w:val="18"/>
                <w:lang w:val="en-AU"/>
              </w:rPr>
              <w:t xml:space="preserve"> have been capitalised, and costs incurred to make good an asset to its original condition. Note that payments made on non-financial assets were greater than the departmental capital budget for the year by $115,865, as capital expenditure anticipated in</w:t>
            </w:r>
            <w:r w:rsidR="0041087D">
              <w:rPr>
                <w:rFonts w:eastAsia="Times New Roman" w:cs="Arial"/>
                <w:color w:val="000000"/>
                <w:sz w:val="18"/>
                <w:szCs w:val="18"/>
                <w:lang w:val="en-AU"/>
              </w:rPr>
              <w:t xml:space="preserve"> 2011-12 was delayed until 2012–</w:t>
            </w:r>
            <w:r w:rsidRPr="005E4B5D">
              <w:rPr>
                <w:rFonts w:eastAsia="Times New Roman" w:cs="Arial"/>
                <w:color w:val="000000"/>
                <w:sz w:val="18"/>
                <w:szCs w:val="18"/>
                <w:lang w:val="en-AU"/>
              </w:rPr>
              <w:t>13 and subsequent years. Therefore, a proportion of the Agency's departmental</w:t>
            </w:r>
            <w:r w:rsidR="0041087D">
              <w:rPr>
                <w:rFonts w:eastAsia="Times New Roman" w:cs="Arial"/>
                <w:color w:val="000000"/>
                <w:sz w:val="18"/>
                <w:szCs w:val="18"/>
                <w:lang w:val="en-AU"/>
              </w:rPr>
              <w:t xml:space="preserve"> capital funds received in 2011–</w:t>
            </w:r>
            <w:r w:rsidRPr="005E4B5D">
              <w:rPr>
                <w:rFonts w:eastAsia="Times New Roman" w:cs="Arial"/>
                <w:color w:val="000000"/>
                <w:sz w:val="18"/>
                <w:szCs w:val="18"/>
                <w:lang w:val="en-AU"/>
              </w:rPr>
              <w:t>12 were spent in 2012-13.</w:t>
            </w: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220"/>
        </w:trPr>
        <w:tc>
          <w:tcPr>
            <w:tcW w:w="128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521"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7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76"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7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335"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335"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398"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40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color w:val="000000"/>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52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3568" w:type="pct"/>
            <w:gridSpan w:val="6"/>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Table C: Unspent Annual Appropriations ('Recoverable GST exclusive')</w:t>
            </w:r>
          </w:p>
        </w:tc>
        <w:tc>
          <w:tcPr>
            <w:tcW w:w="335"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398"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40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29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52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vMerge w:val="restart"/>
            <w:tcBorders>
              <w:top w:val="single" w:sz="4" w:space="0" w:color="auto"/>
              <w:left w:val="nil"/>
              <w:bottom w:val="single" w:sz="4" w:space="0" w:color="000000"/>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Authority</w:t>
            </w:r>
          </w:p>
        </w:tc>
        <w:tc>
          <w:tcPr>
            <w:tcW w:w="521"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 </w:t>
            </w:r>
          </w:p>
        </w:tc>
        <w:tc>
          <w:tcPr>
            <w:tcW w:w="477"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476"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77"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2014 </w:t>
            </w:r>
          </w:p>
        </w:tc>
        <w:tc>
          <w:tcPr>
            <w:tcW w:w="335" w:type="pct"/>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2013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vMerge/>
            <w:tcBorders>
              <w:top w:val="single" w:sz="4" w:space="0" w:color="auto"/>
              <w:left w:val="nil"/>
              <w:bottom w:val="single" w:sz="4" w:space="0" w:color="000000"/>
              <w:right w:val="nil"/>
            </w:tcBorders>
            <w:vAlign w:val="center"/>
          </w:tcPr>
          <w:p w:rsidR="00EB5679" w:rsidRPr="005E4B5D" w:rsidRDefault="00EB5679" w:rsidP="00EB5679">
            <w:pPr>
              <w:spacing w:after="0" w:line="240" w:lineRule="auto"/>
              <w:rPr>
                <w:rFonts w:eastAsia="Times New Roman" w:cs="Arial"/>
                <w:b/>
                <w:bCs/>
                <w:sz w:val="18"/>
                <w:szCs w:val="18"/>
                <w:lang w:val="en-AU"/>
              </w:rPr>
            </w:pPr>
          </w:p>
        </w:tc>
        <w:tc>
          <w:tcPr>
            <w:tcW w:w="521" w:type="pct"/>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 </w:t>
            </w:r>
          </w:p>
        </w:tc>
        <w:tc>
          <w:tcPr>
            <w:tcW w:w="477" w:type="pct"/>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476" w:type="pct"/>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w:t>
            </w:r>
          </w:p>
        </w:tc>
        <w:tc>
          <w:tcPr>
            <w:tcW w:w="477" w:type="pct"/>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335" w:type="pct"/>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DEPARTMENTAL</w:t>
            </w:r>
          </w:p>
        </w:tc>
        <w:tc>
          <w:tcPr>
            <w:tcW w:w="52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Appropriation Act (No. 1) 2013-14</w:t>
            </w:r>
            <w:r w:rsidRPr="005E4B5D">
              <w:rPr>
                <w:rFonts w:eastAsia="Times New Roman" w:cs="Arial"/>
                <w:sz w:val="18"/>
                <w:szCs w:val="18"/>
                <w:vertAlign w:val="superscript"/>
                <w:lang w:val="en-AU"/>
              </w:rPr>
              <w:t>1</w:t>
            </w:r>
          </w:p>
        </w:tc>
        <w:tc>
          <w:tcPr>
            <w:tcW w:w="52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1,808,452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roofErr w:type="gramStart"/>
            <w:r w:rsidRPr="005E4B5D">
              <w:rPr>
                <w:rFonts w:eastAsia="Times New Roman" w:cs="Arial"/>
                <w:sz w:val="18"/>
                <w:szCs w:val="18"/>
                <w:lang w:val="en-AU"/>
              </w:rPr>
              <w:t xml:space="preserve">-   </w:t>
            </w:r>
            <w:proofErr w:type="gramEnd"/>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Appropriation Act (No. 1) 2012-13</w:t>
            </w:r>
          </w:p>
        </w:tc>
        <w:tc>
          <w:tcPr>
            <w:tcW w:w="52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945,832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1,106,635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Appropriation Act (No. 1) 2011-12</w:t>
            </w:r>
            <w:r w:rsidRPr="005E4B5D">
              <w:rPr>
                <w:rFonts w:eastAsia="Times New Roman" w:cs="Arial"/>
                <w:sz w:val="18"/>
                <w:szCs w:val="18"/>
                <w:vertAlign w:val="superscript"/>
                <w:lang w:val="en-AU"/>
              </w:rPr>
              <w:t>2</w:t>
            </w:r>
          </w:p>
        </w:tc>
        <w:tc>
          <w:tcPr>
            <w:tcW w:w="52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1,245,692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1,309,811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Appropriation Act (No. 1) 2010-11</w:t>
            </w:r>
            <w:r w:rsidRPr="005E4B5D">
              <w:rPr>
                <w:rFonts w:eastAsia="Times New Roman" w:cs="Arial"/>
                <w:sz w:val="18"/>
                <w:szCs w:val="18"/>
                <w:vertAlign w:val="superscript"/>
                <w:lang w:val="en-AU"/>
              </w:rPr>
              <w:t>2</w:t>
            </w:r>
          </w:p>
        </w:tc>
        <w:tc>
          <w:tcPr>
            <w:tcW w:w="52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3,922,767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3,922,767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Cash balance</w:t>
            </w:r>
          </w:p>
        </w:tc>
        <w:tc>
          <w:tcPr>
            <w:tcW w:w="521"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78,925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96,226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tcBorders>
              <w:top w:val="single" w:sz="4" w:space="0" w:color="auto"/>
              <w:left w:val="nil"/>
              <w:bottom w:val="single" w:sz="4" w:space="0" w:color="auto"/>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Total</w:t>
            </w:r>
          </w:p>
        </w:tc>
        <w:tc>
          <w:tcPr>
            <w:tcW w:w="521" w:type="pct"/>
            <w:tcBorders>
              <w:top w:val="single" w:sz="4" w:space="0" w:color="auto"/>
              <w:left w:val="nil"/>
              <w:bottom w:val="single" w:sz="4" w:space="0" w:color="auto"/>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477" w:type="pct"/>
            <w:tcBorders>
              <w:top w:val="single" w:sz="4" w:space="0" w:color="auto"/>
              <w:left w:val="nil"/>
              <w:bottom w:val="single" w:sz="4" w:space="0" w:color="auto"/>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476"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w:t>
            </w:r>
          </w:p>
        </w:tc>
        <w:tc>
          <w:tcPr>
            <w:tcW w:w="477"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8,001,668 </w:t>
            </w:r>
          </w:p>
        </w:tc>
        <w:tc>
          <w:tcPr>
            <w:tcW w:w="335" w:type="pct"/>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6,435,439 </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521"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477" w:type="pct"/>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476"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477"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540"/>
        </w:trPr>
        <w:tc>
          <w:tcPr>
            <w:tcW w:w="4708" w:type="pct"/>
            <w:gridSpan w:val="9"/>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The cash balance of $78,925 represents unspent departmental appropriation fro</w:t>
            </w:r>
            <w:r w:rsidR="0041087D">
              <w:rPr>
                <w:rFonts w:eastAsia="Times New Roman" w:cs="Arial"/>
                <w:sz w:val="18"/>
                <w:szCs w:val="18"/>
                <w:lang w:val="en-AU"/>
              </w:rPr>
              <w:t>m Appropriation Act (No.1) 2013–</w:t>
            </w:r>
            <w:r w:rsidRPr="005E4B5D">
              <w:rPr>
                <w:rFonts w:eastAsia="Times New Roman" w:cs="Arial"/>
                <w:sz w:val="18"/>
                <w:szCs w:val="18"/>
                <w:lang w:val="en-AU"/>
              </w:rPr>
              <w:t>14 (2013: $96,226 fro</w:t>
            </w:r>
            <w:r w:rsidR="0041087D">
              <w:rPr>
                <w:rFonts w:eastAsia="Times New Roman" w:cs="Arial"/>
                <w:sz w:val="18"/>
                <w:szCs w:val="18"/>
                <w:lang w:val="en-AU"/>
              </w:rPr>
              <w:t>m Appropriation Act (No.1) 2012–</w:t>
            </w:r>
            <w:r w:rsidRPr="005E4B5D">
              <w:rPr>
                <w:rFonts w:eastAsia="Times New Roman" w:cs="Arial"/>
                <w:sz w:val="18"/>
                <w:szCs w:val="18"/>
                <w:lang w:val="en-AU"/>
              </w:rPr>
              <w:t>13). Unspent departmental appropriation also includes a departmental capital budget of $428,010 (2013: $4,452).</w:t>
            </w: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rsidTr="001E2C73">
        <w:trPr>
          <w:trHeight w:val="240"/>
        </w:trPr>
        <w:tc>
          <w:tcPr>
            <w:tcW w:w="1282"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c>
          <w:tcPr>
            <w:tcW w:w="521"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c>
          <w:tcPr>
            <w:tcW w:w="477"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c>
          <w:tcPr>
            <w:tcW w:w="476"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c>
          <w:tcPr>
            <w:tcW w:w="477"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c>
          <w:tcPr>
            <w:tcW w:w="335"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c>
          <w:tcPr>
            <w:tcW w:w="335"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c>
          <w:tcPr>
            <w:tcW w:w="398"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c>
          <w:tcPr>
            <w:tcW w:w="407"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c>
          <w:tcPr>
            <w:tcW w:w="292" w:type="pct"/>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p>
        </w:tc>
      </w:tr>
      <w:tr w:rsidR="00EB5679" w:rsidRPr="005E4B5D" w:rsidTr="001E2C73">
        <w:trPr>
          <w:trHeight w:val="240"/>
        </w:trPr>
        <w:tc>
          <w:tcPr>
            <w:tcW w:w="3233" w:type="pct"/>
            <w:gridSpan w:val="5"/>
            <w:tcBorders>
              <w:top w:val="nil"/>
              <w:left w:val="nil"/>
              <w:bottom w:val="nil"/>
              <w:right w:val="nil"/>
            </w:tcBorders>
            <w:shd w:val="clear" w:color="auto" w:fill="auto"/>
            <w:noWrap/>
          </w:tcPr>
          <w:p w:rsidR="00EB5679" w:rsidRPr="005E4B5D" w:rsidRDefault="00EB5679" w:rsidP="00EB5679">
            <w:pPr>
              <w:spacing w:after="0" w:line="240" w:lineRule="auto"/>
              <w:rPr>
                <w:rFonts w:eastAsia="Times New Roman" w:cs="Arial"/>
                <w:sz w:val="16"/>
                <w:szCs w:val="16"/>
                <w:lang w:val="en-AU"/>
              </w:rPr>
            </w:pPr>
            <w:r w:rsidRPr="005E4B5D">
              <w:rPr>
                <w:rFonts w:eastAsia="Times New Roman" w:cs="Arial"/>
                <w:sz w:val="16"/>
                <w:szCs w:val="16"/>
                <w:vertAlign w:val="superscript"/>
                <w:lang w:val="en-AU"/>
              </w:rPr>
              <w:t xml:space="preserve">1 </w:t>
            </w:r>
            <w:r w:rsidRPr="005E4B5D">
              <w:rPr>
                <w:rFonts w:eastAsia="Times New Roman" w:cs="Arial"/>
                <w:sz w:val="16"/>
                <w:szCs w:val="16"/>
                <w:lang w:val="en-AU"/>
              </w:rPr>
              <w:t>The total amount for unspent departmental annual appropriations includes a reduction of $1,000 that will be recognised in the 2014-15 Appropriation Acts.</w:t>
            </w: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1E2C73" w:rsidRPr="005E4B5D" w:rsidTr="001E2C73">
        <w:trPr>
          <w:trHeight w:val="240"/>
        </w:trPr>
        <w:tc>
          <w:tcPr>
            <w:tcW w:w="2756" w:type="pct"/>
            <w:gridSpan w:val="4"/>
            <w:tcBorders>
              <w:top w:val="nil"/>
              <w:left w:val="nil"/>
              <w:bottom w:val="nil"/>
              <w:right w:val="nil"/>
            </w:tcBorders>
            <w:shd w:val="clear" w:color="auto" w:fill="auto"/>
            <w:noWrap/>
          </w:tcPr>
          <w:p w:rsidR="001E2C73" w:rsidRPr="005E4B5D" w:rsidRDefault="001E2C73" w:rsidP="00EB5679">
            <w:pPr>
              <w:spacing w:after="0" w:line="240" w:lineRule="auto"/>
              <w:rPr>
                <w:rFonts w:eastAsia="Times New Roman" w:cs="Arial"/>
                <w:sz w:val="18"/>
                <w:szCs w:val="18"/>
                <w:lang w:val="en-AU"/>
              </w:rPr>
            </w:pPr>
            <w:r w:rsidRPr="005E4B5D">
              <w:rPr>
                <w:rFonts w:eastAsia="Times New Roman" w:cs="Arial"/>
                <w:sz w:val="16"/>
                <w:szCs w:val="16"/>
                <w:vertAlign w:val="superscript"/>
                <w:lang w:val="en-AU"/>
              </w:rPr>
              <w:t>2</w:t>
            </w:r>
            <w:r w:rsidRPr="005E4B5D">
              <w:rPr>
                <w:rFonts w:eastAsia="Times New Roman" w:cs="Arial"/>
                <w:sz w:val="16"/>
                <w:szCs w:val="16"/>
                <w:lang w:val="en-AU"/>
              </w:rPr>
              <w:t xml:space="preserve"> Unspent appropriations will no longer be available to the Agency from 1 July 2014 as disclosed in Note 2.</w:t>
            </w:r>
          </w:p>
        </w:tc>
        <w:tc>
          <w:tcPr>
            <w:tcW w:w="477" w:type="pct"/>
            <w:tcBorders>
              <w:top w:val="nil"/>
              <w:left w:val="nil"/>
              <w:bottom w:val="nil"/>
              <w:right w:val="nil"/>
            </w:tcBorders>
            <w:shd w:val="clear" w:color="auto" w:fill="auto"/>
            <w:noWrap/>
            <w:vAlign w:val="bottom"/>
          </w:tcPr>
          <w:p w:rsidR="001E2C73" w:rsidRPr="005E4B5D" w:rsidRDefault="001E2C73" w:rsidP="00EB5679">
            <w:pPr>
              <w:spacing w:after="0" w:line="240" w:lineRule="auto"/>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1E2C73" w:rsidRPr="005E4B5D" w:rsidRDefault="001E2C73" w:rsidP="00EB5679">
            <w:pPr>
              <w:spacing w:after="0" w:line="240" w:lineRule="auto"/>
              <w:rPr>
                <w:rFonts w:eastAsia="Times New Roman" w:cs="Arial"/>
                <w:sz w:val="18"/>
                <w:szCs w:val="18"/>
                <w:lang w:val="en-AU"/>
              </w:rPr>
            </w:pPr>
          </w:p>
        </w:tc>
        <w:tc>
          <w:tcPr>
            <w:tcW w:w="335" w:type="pct"/>
            <w:tcBorders>
              <w:top w:val="nil"/>
              <w:left w:val="nil"/>
              <w:bottom w:val="nil"/>
              <w:right w:val="nil"/>
            </w:tcBorders>
            <w:shd w:val="clear" w:color="auto" w:fill="auto"/>
            <w:noWrap/>
            <w:vAlign w:val="bottom"/>
          </w:tcPr>
          <w:p w:rsidR="001E2C73" w:rsidRPr="005E4B5D" w:rsidRDefault="001E2C73" w:rsidP="00EB5679">
            <w:pPr>
              <w:spacing w:after="0" w:line="240" w:lineRule="auto"/>
              <w:rPr>
                <w:rFonts w:eastAsia="Times New Roman" w:cs="Arial"/>
                <w:sz w:val="18"/>
                <w:szCs w:val="18"/>
                <w:lang w:val="en-AU"/>
              </w:rPr>
            </w:pPr>
          </w:p>
        </w:tc>
        <w:tc>
          <w:tcPr>
            <w:tcW w:w="398" w:type="pct"/>
            <w:tcBorders>
              <w:top w:val="nil"/>
              <w:left w:val="nil"/>
              <w:bottom w:val="nil"/>
              <w:right w:val="nil"/>
            </w:tcBorders>
            <w:shd w:val="clear" w:color="auto" w:fill="auto"/>
            <w:noWrap/>
            <w:vAlign w:val="bottom"/>
          </w:tcPr>
          <w:p w:rsidR="001E2C73" w:rsidRPr="005E4B5D" w:rsidRDefault="001E2C73" w:rsidP="00EB5679">
            <w:pPr>
              <w:spacing w:after="0" w:line="240" w:lineRule="auto"/>
              <w:rPr>
                <w:rFonts w:eastAsia="Times New Roman" w:cs="Arial"/>
                <w:sz w:val="18"/>
                <w:szCs w:val="18"/>
                <w:lang w:val="en-AU"/>
              </w:rPr>
            </w:pPr>
          </w:p>
        </w:tc>
        <w:tc>
          <w:tcPr>
            <w:tcW w:w="407" w:type="pct"/>
            <w:tcBorders>
              <w:top w:val="nil"/>
              <w:left w:val="nil"/>
              <w:bottom w:val="nil"/>
              <w:right w:val="nil"/>
            </w:tcBorders>
            <w:shd w:val="clear" w:color="auto" w:fill="auto"/>
            <w:noWrap/>
            <w:vAlign w:val="bottom"/>
          </w:tcPr>
          <w:p w:rsidR="001E2C73" w:rsidRPr="005E4B5D" w:rsidRDefault="001E2C73" w:rsidP="00EB5679">
            <w:pPr>
              <w:spacing w:after="0" w:line="240" w:lineRule="auto"/>
              <w:rPr>
                <w:rFonts w:eastAsia="Times New Roman" w:cs="Arial"/>
                <w:sz w:val="18"/>
                <w:szCs w:val="18"/>
                <w:lang w:val="en-AU"/>
              </w:rPr>
            </w:pPr>
          </w:p>
        </w:tc>
        <w:tc>
          <w:tcPr>
            <w:tcW w:w="292" w:type="pct"/>
            <w:tcBorders>
              <w:top w:val="nil"/>
              <w:left w:val="nil"/>
              <w:bottom w:val="nil"/>
              <w:right w:val="nil"/>
            </w:tcBorders>
            <w:shd w:val="clear" w:color="auto" w:fill="auto"/>
            <w:noWrap/>
            <w:vAlign w:val="bottom"/>
          </w:tcPr>
          <w:p w:rsidR="001E2C73" w:rsidRPr="005E4B5D" w:rsidRDefault="001E2C73" w:rsidP="00EB5679">
            <w:pPr>
              <w:spacing w:after="0" w:line="240" w:lineRule="auto"/>
              <w:rPr>
                <w:rFonts w:eastAsia="Times New Roman" w:cs="Arial"/>
                <w:sz w:val="18"/>
                <w:szCs w:val="18"/>
                <w:lang w:val="en-AU"/>
              </w:rPr>
            </w:pPr>
          </w:p>
        </w:tc>
      </w:tr>
    </w:tbl>
    <w:p w:rsidR="00EB5679" w:rsidRPr="005E4B5D" w:rsidRDefault="00EB5679">
      <w:pPr>
        <w:rPr>
          <w:rFonts w:cs="Arial"/>
        </w:rPr>
        <w:sectPr w:rsidR="00EB5679" w:rsidRPr="005E4B5D" w:rsidSect="001E2C73">
          <w:pgSz w:w="16838" w:h="11906" w:orient="landscape"/>
          <w:pgMar w:top="720" w:right="567" w:bottom="720" w:left="567" w:footer="284" w:gutter="0"/>
          <w:noEndnote/>
        </w:sectPr>
      </w:pPr>
    </w:p>
    <w:tbl>
      <w:tblPr>
        <w:tblW w:w="10832" w:type="dxa"/>
        <w:tblInd w:w="103" w:type="dxa"/>
        <w:tblLook w:val="04A0"/>
      </w:tblPr>
      <w:tblGrid>
        <w:gridCol w:w="8228"/>
        <w:gridCol w:w="1163"/>
        <w:gridCol w:w="278"/>
        <w:gridCol w:w="1163"/>
      </w:tblGrid>
      <w:tr w:rsidR="00EB5679" w:rsidRPr="005E4B5D">
        <w:trPr>
          <w:trHeight w:val="360"/>
        </w:trPr>
        <w:tc>
          <w:tcPr>
            <w:tcW w:w="8288" w:type="dxa"/>
            <w:tcBorders>
              <w:top w:val="nil"/>
              <w:right w:val="nil"/>
            </w:tcBorders>
            <w:shd w:val="clear" w:color="auto" w:fill="auto"/>
            <w:noWrap/>
            <w:vAlign w:val="center"/>
          </w:tcPr>
          <w:p w:rsidR="00EB5679" w:rsidRPr="005E4B5D" w:rsidRDefault="00EB5679" w:rsidP="005E4B5D">
            <w:pPr>
              <w:rPr>
                <w:lang w:val="en-AU"/>
              </w:rPr>
            </w:pPr>
            <w:bookmarkStart w:id="363" w:name="RANGE!D1:G15"/>
            <w:r w:rsidRPr="005E4B5D">
              <w:rPr>
                <w:lang w:val="en-AU"/>
              </w:rPr>
              <w:t>Notes to and forming part of the financial statements</w:t>
            </w:r>
            <w:bookmarkEnd w:id="363"/>
          </w:p>
        </w:tc>
        <w:tc>
          <w:tcPr>
            <w:tcW w:w="1168"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208"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68"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r>
      <w:tr w:rsidR="00EB5679" w:rsidRPr="005E4B5D">
        <w:trPr>
          <w:trHeight w:val="260"/>
        </w:trPr>
        <w:tc>
          <w:tcPr>
            <w:tcW w:w="8288" w:type="dxa"/>
            <w:tcBorders>
              <w:top w:val="nil"/>
              <w:left w:val="nil"/>
              <w:bottom w:val="single" w:sz="4" w:space="0" w:color="auto"/>
              <w:right w:val="nil"/>
            </w:tcBorders>
            <w:shd w:val="clear" w:color="auto" w:fill="auto"/>
            <w:noWrap/>
          </w:tcPr>
          <w:p w:rsidR="00EB5679" w:rsidRPr="005E4B5D" w:rsidRDefault="00EB5679" w:rsidP="005E4B5D">
            <w:pPr>
              <w:pStyle w:val="Financialsnotehead"/>
            </w:pPr>
            <w:r w:rsidRPr="005E4B5D">
              <w:t>Note 17: Compensation and Debt Relief</w:t>
            </w:r>
          </w:p>
        </w:tc>
        <w:tc>
          <w:tcPr>
            <w:tcW w:w="1168"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208"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68" w:type="dxa"/>
            <w:tcBorders>
              <w:top w:val="nil"/>
              <w:left w:val="nil"/>
              <w:bottom w:val="single" w:sz="4" w:space="0" w:color="auto"/>
              <w:right w:val="nil"/>
            </w:tcBorders>
            <w:shd w:val="clear" w:color="auto" w:fill="auto"/>
            <w:noWrap/>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r>
      <w:tr w:rsidR="00EB5679" w:rsidRPr="005E4B5D">
        <w:trPr>
          <w:trHeight w:val="240"/>
        </w:trPr>
        <w:tc>
          <w:tcPr>
            <w:tcW w:w="8288"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68"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208"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68" w:type="dxa"/>
            <w:tcBorders>
              <w:top w:val="single" w:sz="4" w:space="0" w:color="auto"/>
              <w:left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828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2014 </w:t>
            </w:r>
          </w:p>
        </w:tc>
        <w:tc>
          <w:tcPr>
            <w:tcW w:w="20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2013 </w:t>
            </w:r>
          </w:p>
        </w:tc>
      </w:tr>
      <w:tr w:rsidR="00EB5679" w:rsidRPr="005E4B5D">
        <w:trPr>
          <w:trHeight w:val="240"/>
        </w:trPr>
        <w:tc>
          <w:tcPr>
            <w:tcW w:w="8288" w:type="dxa"/>
            <w:tcBorders>
              <w:top w:val="nil"/>
              <w:left w:val="nil"/>
              <w:bottom w:val="single" w:sz="4" w:space="0" w:color="auto"/>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20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r>
      <w:tr w:rsidR="00EB5679" w:rsidRPr="005E4B5D">
        <w:trPr>
          <w:trHeight w:val="240"/>
        </w:trPr>
        <w:tc>
          <w:tcPr>
            <w:tcW w:w="8288" w:type="dxa"/>
            <w:tcBorders>
              <w:top w:val="single" w:sz="4" w:space="0" w:color="auto"/>
              <w:left w:val="nil"/>
              <w:bottom w:val="nil"/>
              <w:right w:val="nil"/>
            </w:tcBorders>
            <w:shd w:val="clear" w:color="auto" w:fill="auto"/>
            <w:noWrap/>
            <w:vAlign w:val="bottom"/>
          </w:tcPr>
          <w:p w:rsidR="005509F4" w:rsidRDefault="005509F4" w:rsidP="00EB5679">
            <w:pPr>
              <w:spacing w:after="0" w:line="240" w:lineRule="auto"/>
              <w:rPr>
                <w:rFonts w:eastAsia="Times New Roman" w:cs="Arial"/>
                <w:b/>
                <w:bCs/>
                <w:sz w:val="18"/>
                <w:szCs w:val="18"/>
                <w:lang w:val="en-AU"/>
              </w:rPr>
            </w:pPr>
          </w:p>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Compensation and Debt Relief - Departmental</w:t>
            </w:r>
          </w:p>
        </w:tc>
        <w:tc>
          <w:tcPr>
            <w:tcW w:w="1168" w:type="dxa"/>
            <w:tcBorders>
              <w:top w:val="single" w:sz="4" w:space="0" w:color="auto"/>
              <w:left w:val="nil"/>
              <w:bottom w:val="nil"/>
              <w:right w:val="nil"/>
            </w:tcBorders>
            <w:shd w:val="clear" w:color="auto" w:fill="auto"/>
          </w:tcPr>
          <w:p w:rsidR="00EB5679" w:rsidRPr="005E4B5D" w:rsidRDefault="00EB5679" w:rsidP="00EB5679">
            <w:pPr>
              <w:spacing w:after="0" w:line="240" w:lineRule="auto"/>
              <w:jc w:val="right"/>
              <w:rPr>
                <w:rFonts w:eastAsia="Times New Roman" w:cs="Arial"/>
                <w:b/>
                <w:bCs/>
                <w:sz w:val="18"/>
                <w:szCs w:val="18"/>
                <w:lang w:val="en-AU"/>
              </w:rPr>
            </w:pPr>
          </w:p>
        </w:tc>
        <w:tc>
          <w:tcPr>
            <w:tcW w:w="208" w:type="dxa"/>
            <w:tcBorders>
              <w:top w:val="single" w:sz="4" w:space="0" w:color="auto"/>
              <w:left w:val="nil"/>
              <w:bottom w:val="nil"/>
              <w:right w:val="nil"/>
            </w:tcBorders>
            <w:shd w:val="clear" w:color="auto" w:fill="auto"/>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single" w:sz="4" w:space="0" w:color="auto"/>
              <w:left w:val="nil"/>
              <w:bottom w:val="nil"/>
              <w:right w:val="nil"/>
            </w:tcBorders>
            <w:shd w:val="clear" w:color="auto" w:fill="auto"/>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520"/>
        </w:trPr>
        <w:tc>
          <w:tcPr>
            <w:tcW w:w="8288"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No ‘Act of Grace’ expenses were incurred during the reporting period (2013: No payments made)</w:t>
            </w: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20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r>
      <w:tr w:rsidR="00EB5679" w:rsidRPr="005E4B5D">
        <w:trPr>
          <w:trHeight w:val="240"/>
        </w:trPr>
        <w:tc>
          <w:tcPr>
            <w:tcW w:w="8288"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08"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700"/>
        </w:trPr>
        <w:tc>
          <w:tcPr>
            <w:tcW w:w="8288"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No waivers of amounts owing to the Australian Government were made pursuant to subsection 34(1) of the Financial Management and Accountability Act 1997. (2013: None)</w:t>
            </w: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20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r>
      <w:tr w:rsidR="00EB5679" w:rsidRPr="005E4B5D">
        <w:trPr>
          <w:trHeight w:val="240"/>
        </w:trPr>
        <w:tc>
          <w:tcPr>
            <w:tcW w:w="8288"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0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440"/>
        </w:trPr>
        <w:tc>
          <w:tcPr>
            <w:tcW w:w="8288"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No payments were provided under the Compensation for Detriment caused by Defective Administration (CDDA) Scheme during the reporting period. (2013: None)</w:t>
            </w: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20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r>
      <w:tr w:rsidR="00EB5679" w:rsidRPr="005E4B5D">
        <w:trPr>
          <w:trHeight w:val="240"/>
        </w:trPr>
        <w:tc>
          <w:tcPr>
            <w:tcW w:w="8288"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0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480"/>
        </w:trPr>
        <w:tc>
          <w:tcPr>
            <w:tcW w:w="8288"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No ex-gratia payments were provided for during the reporting period. (2013: None)</w:t>
            </w: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20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r>
      <w:tr w:rsidR="00EB5679" w:rsidRPr="005E4B5D">
        <w:trPr>
          <w:trHeight w:val="240"/>
        </w:trPr>
        <w:tc>
          <w:tcPr>
            <w:tcW w:w="8288"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20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p>
        </w:tc>
      </w:tr>
      <w:tr w:rsidR="00EB5679" w:rsidRPr="005E4B5D">
        <w:trPr>
          <w:trHeight w:val="1020"/>
        </w:trPr>
        <w:tc>
          <w:tcPr>
            <w:tcW w:w="8288"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No payments were provided in special circumstances relating to APS employment pursuant to section 73 of the Public Service Act 1999 (PS Act) during the reporting period. (2013: None)</w:t>
            </w: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w:t>
            </w:r>
          </w:p>
        </w:tc>
        <w:tc>
          <w:tcPr>
            <w:tcW w:w="208" w:type="dxa"/>
            <w:tcBorders>
              <w:top w:val="nil"/>
              <w:left w:val="nil"/>
              <w:bottom w:val="nil"/>
              <w:right w:val="nil"/>
            </w:tcBorders>
            <w:shd w:val="clear" w:color="auto" w:fill="auto"/>
            <w:vAlign w:val="bottom"/>
          </w:tcPr>
          <w:p w:rsidR="00EB5679" w:rsidRPr="005E4B5D" w:rsidRDefault="00EB5679" w:rsidP="00EB5679">
            <w:pPr>
              <w:spacing w:after="0" w:line="240" w:lineRule="auto"/>
              <w:jc w:val="right"/>
              <w:rPr>
                <w:rFonts w:eastAsia="Times New Roman" w:cs="Arial"/>
                <w:b/>
                <w:bCs/>
                <w:sz w:val="18"/>
                <w:szCs w:val="18"/>
                <w:lang w:val="en-AU"/>
              </w:rPr>
            </w:pPr>
          </w:p>
        </w:tc>
        <w:tc>
          <w:tcPr>
            <w:tcW w:w="1168"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w:t>
            </w:r>
          </w:p>
        </w:tc>
      </w:tr>
    </w:tbl>
    <w:p w:rsidR="00EB5679" w:rsidRPr="005E4B5D" w:rsidRDefault="00EB5679">
      <w:pPr>
        <w:rPr>
          <w:rFonts w:cs="Arial"/>
        </w:rPr>
      </w:pPr>
    </w:p>
    <w:p w:rsidR="00EB5679" w:rsidRPr="005E4B5D" w:rsidRDefault="00EB5679">
      <w:pPr>
        <w:rPr>
          <w:rFonts w:cs="Arial"/>
        </w:rPr>
      </w:pPr>
      <w:r w:rsidRPr="005E4B5D">
        <w:rPr>
          <w:rFonts w:cs="Arial"/>
        </w:rPr>
        <w:br w:type="page"/>
      </w:r>
    </w:p>
    <w:tbl>
      <w:tblPr>
        <w:tblW w:w="8828" w:type="dxa"/>
        <w:tblInd w:w="108" w:type="dxa"/>
        <w:tblLook w:val="04A0"/>
      </w:tblPr>
      <w:tblGrid>
        <w:gridCol w:w="4302"/>
        <w:gridCol w:w="1087"/>
        <w:gridCol w:w="1087"/>
        <w:gridCol w:w="1176"/>
        <w:gridCol w:w="1176"/>
      </w:tblGrid>
      <w:tr w:rsidR="00EB5679" w:rsidRPr="005E4B5D">
        <w:trPr>
          <w:trHeight w:val="360"/>
        </w:trPr>
        <w:tc>
          <w:tcPr>
            <w:tcW w:w="6476" w:type="dxa"/>
            <w:gridSpan w:val="3"/>
            <w:tcBorders>
              <w:top w:val="nil"/>
              <w:left w:val="nil"/>
              <w:right w:val="nil"/>
            </w:tcBorders>
            <w:shd w:val="clear" w:color="auto" w:fill="auto"/>
            <w:noWrap/>
            <w:vAlign w:val="center"/>
          </w:tcPr>
          <w:p w:rsidR="00EB5679" w:rsidRPr="005E4B5D" w:rsidRDefault="00EB5679" w:rsidP="005E4B5D">
            <w:pPr>
              <w:rPr>
                <w:lang w:val="en-AU"/>
              </w:rPr>
            </w:pPr>
            <w:r w:rsidRPr="005E4B5D">
              <w:rPr>
                <w:lang w:val="en-AU"/>
              </w:rPr>
              <w:t>Notes to and forming part of the financial statements</w:t>
            </w:r>
          </w:p>
        </w:tc>
        <w:tc>
          <w:tcPr>
            <w:tcW w:w="1176"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right w:val="nil"/>
            </w:tcBorders>
            <w:shd w:val="clear" w:color="auto" w:fill="auto"/>
            <w:noWrap/>
            <w:vAlign w:val="center"/>
          </w:tcPr>
          <w:p w:rsidR="00EB5679" w:rsidRPr="005E4B5D" w:rsidRDefault="00EB5679" w:rsidP="00EB5679">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r>
      <w:tr w:rsidR="005E4B5D" w:rsidRPr="005E4B5D">
        <w:trPr>
          <w:trHeight w:val="300"/>
        </w:trPr>
        <w:tc>
          <w:tcPr>
            <w:tcW w:w="8828" w:type="dxa"/>
            <w:gridSpan w:val="5"/>
            <w:tcBorders>
              <w:top w:val="nil"/>
              <w:left w:val="nil"/>
              <w:bottom w:val="single" w:sz="4" w:space="0" w:color="auto"/>
              <w:right w:val="nil"/>
            </w:tcBorders>
            <w:shd w:val="clear" w:color="auto" w:fill="auto"/>
            <w:noWrap/>
          </w:tcPr>
          <w:p w:rsidR="005E4B5D" w:rsidRPr="005E4B5D" w:rsidRDefault="005E4B5D" w:rsidP="005E4B5D">
            <w:pPr>
              <w:pStyle w:val="Financialsnotehead"/>
            </w:pPr>
            <w:r w:rsidRPr="005E4B5D">
              <w:t>Note 18: Reporting of Outcomes</w:t>
            </w:r>
          </w:p>
        </w:tc>
      </w:tr>
      <w:tr w:rsidR="00EB5679" w:rsidRPr="005E4B5D">
        <w:trPr>
          <w:trHeight w:val="240"/>
        </w:trPr>
        <w:tc>
          <w:tcPr>
            <w:tcW w:w="4302" w:type="dxa"/>
            <w:tcBorders>
              <w:top w:val="single" w:sz="4" w:space="0" w:color="auto"/>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1087" w:type="dxa"/>
            <w:tcBorders>
              <w:top w:val="single" w:sz="4" w:space="0" w:color="auto"/>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1087" w:type="dxa"/>
            <w:tcBorders>
              <w:top w:val="single" w:sz="4" w:space="0" w:color="auto"/>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1176" w:type="dxa"/>
            <w:tcBorders>
              <w:top w:val="single" w:sz="4" w:space="0" w:color="auto"/>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1176" w:type="dxa"/>
            <w:tcBorders>
              <w:top w:val="single" w:sz="4" w:space="0" w:color="auto"/>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r>
      <w:tr w:rsidR="00EB5679" w:rsidRPr="005E4B5D">
        <w:trPr>
          <w:trHeight w:val="240"/>
        </w:trPr>
        <w:tc>
          <w:tcPr>
            <w:tcW w:w="4302"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lang w:val="en-AU"/>
              </w:rPr>
            </w:pPr>
          </w:p>
        </w:tc>
        <w:tc>
          <w:tcPr>
            <w:tcW w:w="1087"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087"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4302" w:type="dxa"/>
            <w:tcBorders>
              <w:top w:val="nil"/>
              <w:left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r w:rsidRPr="005E4B5D">
              <w:rPr>
                <w:rFonts w:eastAsia="Times New Roman" w:cs="Arial"/>
                <w:b/>
                <w:bCs/>
                <w:sz w:val="18"/>
                <w:szCs w:val="18"/>
                <w:u w:val="single"/>
                <w:lang w:val="en-AU"/>
              </w:rPr>
              <w:t>Note 18A: Net Cost of Outcome Delivery</w:t>
            </w:r>
          </w:p>
        </w:tc>
        <w:tc>
          <w:tcPr>
            <w:tcW w:w="1087" w:type="dxa"/>
            <w:tcBorders>
              <w:top w:val="nil"/>
              <w:left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1087" w:type="dxa"/>
            <w:tcBorders>
              <w:top w:val="nil"/>
              <w:left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1176" w:type="dxa"/>
            <w:tcBorders>
              <w:top w:val="nil"/>
              <w:left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1176" w:type="dxa"/>
            <w:tcBorders>
              <w:top w:val="nil"/>
              <w:left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r>
      <w:tr w:rsidR="00EB5679" w:rsidRPr="005E4B5D">
        <w:trPr>
          <w:trHeight w:val="240"/>
        </w:trPr>
        <w:tc>
          <w:tcPr>
            <w:tcW w:w="4302"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1087"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1087"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117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c>
          <w:tcPr>
            <w:tcW w:w="1176" w:type="dxa"/>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b/>
                <w:bCs/>
                <w:sz w:val="18"/>
                <w:szCs w:val="18"/>
                <w:u w:val="single"/>
                <w:lang w:val="en-AU"/>
              </w:rPr>
            </w:pPr>
          </w:p>
        </w:tc>
      </w:tr>
      <w:tr w:rsidR="00EB5679" w:rsidRPr="005E4B5D">
        <w:trPr>
          <w:trHeight w:val="600"/>
        </w:trPr>
        <w:tc>
          <w:tcPr>
            <w:tcW w:w="4302" w:type="dxa"/>
            <w:tcBorders>
              <w:top w:val="single" w:sz="4" w:space="0" w:color="auto"/>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2174" w:type="dxa"/>
            <w:gridSpan w:val="2"/>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Outcome 1</w:t>
            </w:r>
            <w:r w:rsidR="005509F4" w:rsidRPr="005509F4">
              <w:rPr>
                <w:rFonts w:eastAsia="Times New Roman" w:cs="Arial"/>
                <w:b/>
                <w:bCs/>
                <w:sz w:val="18"/>
                <w:szCs w:val="18"/>
                <w:vertAlign w:val="superscript"/>
                <w:lang w:val="en-AU"/>
              </w:rPr>
              <w:t>1</w:t>
            </w:r>
          </w:p>
        </w:tc>
        <w:tc>
          <w:tcPr>
            <w:tcW w:w="2352" w:type="dxa"/>
            <w:gridSpan w:val="2"/>
            <w:tcBorders>
              <w:top w:val="single" w:sz="4" w:space="0" w:color="auto"/>
              <w:left w:val="nil"/>
              <w:bottom w:val="nil"/>
              <w:right w:val="nil"/>
            </w:tcBorders>
            <w:shd w:val="clear" w:color="auto" w:fill="auto"/>
            <w:noWrap/>
            <w:vAlign w:val="bottom"/>
          </w:tcPr>
          <w:p w:rsidR="00EB5679" w:rsidRPr="005E4B5D" w:rsidRDefault="00EB5679" w:rsidP="00EB5679">
            <w:pPr>
              <w:spacing w:after="0" w:line="240" w:lineRule="auto"/>
              <w:jc w:val="center"/>
              <w:rPr>
                <w:rFonts w:eastAsia="Times New Roman" w:cs="Arial"/>
                <w:b/>
                <w:bCs/>
                <w:sz w:val="18"/>
                <w:szCs w:val="18"/>
                <w:lang w:val="en-AU"/>
              </w:rPr>
            </w:pPr>
            <w:r w:rsidRPr="005E4B5D">
              <w:rPr>
                <w:rFonts w:eastAsia="Times New Roman" w:cs="Arial"/>
                <w:b/>
                <w:bCs/>
                <w:sz w:val="18"/>
                <w:szCs w:val="18"/>
                <w:lang w:val="en-AU"/>
              </w:rPr>
              <w:t>Total</w:t>
            </w:r>
          </w:p>
        </w:tc>
      </w:tr>
      <w:tr w:rsidR="00EB5679" w:rsidRPr="005E4B5D">
        <w:trPr>
          <w:trHeight w:val="240"/>
        </w:trPr>
        <w:tc>
          <w:tcPr>
            <w:tcW w:w="4302" w:type="dxa"/>
            <w:tcBorders>
              <w:top w:val="nil"/>
              <w:left w:val="nil"/>
              <w:bottom w:val="nil"/>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p>
        </w:tc>
        <w:tc>
          <w:tcPr>
            <w:tcW w:w="1087"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2014 </w:t>
            </w:r>
          </w:p>
        </w:tc>
        <w:tc>
          <w:tcPr>
            <w:tcW w:w="1087"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2013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2014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2013 </w:t>
            </w:r>
          </w:p>
        </w:tc>
      </w:tr>
      <w:tr w:rsidR="00EB5679" w:rsidRPr="005E4B5D">
        <w:trPr>
          <w:trHeight w:val="240"/>
        </w:trPr>
        <w:tc>
          <w:tcPr>
            <w:tcW w:w="4302" w:type="dxa"/>
            <w:tcBorders>
              <w:top w:val="nil"/>
              <w:left w:val="nil"/>
              <w:bottom w:val="single" w:sz="4" w:space="0" w:color="auto"/>
              <w:right w:val="nil"/>
            </w:tcBorders>
            <w:shd w:val="clear" w:color="auto" w:fill="auto"/>
            <w:vAlign w:val="bottom"/>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 </w:t>
            </w:r>
          </w:p>
        </w:tc>
        <w:tc>
          <w:tcPr>
            <w:tcW w:w="1087"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087"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1176"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r>
      <w:tr w:rsidR="00EB5679" w:rsidRPr="005E4B5D">
        <w:trPr>
          <w:trHeight w:val="240"/>
        </w:trPr>
        <w:tc>
          <w:tcPr>
            <w:tcW w:w="4302"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Departmental</w:t>
            </w:r>
          </w:p>
        </w:tc>
        <w:tc>
          <w:tcPr>
            <w:tcW w:w="1087"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087" w:type="dxa"/>
            <w:tcBorders>
              <w:top w:val="nil"/>
              <w:left w:val="nil"/>
              <w:bottom w:val="nil"/>
              <w:right w:val="nil"/>
            </w:tcBorders>
            <w:shd w:val="clear" w:color="auto" w:fill="auto"/>
            <w:vAlign w:val="bottom"/>
          </w:tcPr>
          <w:p w:rsidR="00EB5679" w:rsidRPr="005E4B5D" w:rsidRDefault="00EB5679" w:rsidP="00EB5679">
            <w:pPr>
              <w:spacing w:after="0" w:line="240" w:lineRule="auto"/>
              <w:jc w:val="center"/>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4302" w:type="dxa"/>
            <w:tcBorders>
              <w:top w:val="nil"/>
              <w:left w:val="nil"/>
              <w:bottom w:val="nil"/>
              <w:right w:val="nil"/>
            </w:tcBorders>
            <w:shd w:val="clear" w:color="auto" w:fill="auto"/>
            <w:noWrap/>
            <w:vAlign w:val="bottom"/>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Expenses</w:t>
            </w:r>
          </w:p>
        </w:tc>
        <w:tc>
          <w:tcPr>
            <w:tcW w:w="1087"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4,861,383 </w:t>
            </w:r>
          </w:p>
        </w:tc>
        <w:tc>
          <w:tcPr>
            <w:tcW w:w="1087"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4,340,183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4,861,383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4,340,183 </w:t>
            </w:r>
          </w:p>
        </w:tc>
      </w:tr>
      <w:tr w:rsidR="00EB5679" w:rsidRPr="005E4B5D">
        <w:trPr>
          <w:trHeight w:val="240"/>
        </w:trPr>
        <w:tc>
          <w:tcPr>
            <w:tcW w:w="4302" w:type="dxa"/>
            <w:tcBorders>
              <w:top w:val="nil"/>
              <w:left w:val="nil"/>
              <w:bottom w:val="single" w:sz="4" w:space="0" w:color="auto"/>
              <w:right w:val="nil"/>
            </w:tcBorders>
            <w:shd w:val="clear" w:color="auto" w:fill="auto"/>
            <w:noWrap/>
            <w:vAlign w:val="bottom"/>
          </w:tcPr>
          <w:p w:rsidR="00EB5679" w:rsidRPr="005E4B5D" w:rsidRDefault="00EB5679" w:rsidP="009F7D0F">
            <w:pPr>
              <w:spacing w:after="0" w:line="240" w:lineRule="auto"/>
              <w:ind w:firstLineChars="200" w:firstLine="280"/>
              <w:rPr>
                <w:rFonts w:eastAsia="Times New Roman" w:cs="Arial"/>
                <w:sz w:val="18"/>
                <w:szCs w:val="18"/>
                <w:lang w:val="en-AU"/>
              </w:rPr>
            </w:pPr>
            <w:r w:rsidRPr="005E4B5D">
              <w:rPr>
                <w:rFonts w:eastAsia="Times New Roman" w:cs="Arial"/>
                <w:sz w:val="18"/>
                <w:szCs w:val="18"/>
                <w:lang w:val="en-AU"/>
              </w:rPr>
              <w:t>Own-source income</w:t>
            </w:r>
          </w:p>
        </w:tc>
        <w:tc>
          <w:tcPr>
            <w:tcW w:w="1087" w:type="dxa"/>
            <w:tcBorders>
              <w:top w:val="nil"/>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66,820 </w:t>
            </w:r>
          </w:p>
        </w:tc>
        <w:tc>
          <w:tcPr>
            <w:tcW w:w="1087"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22,889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66,820 </w:t>
            </w:r>
          </w:p>
        </w:tc>
        <w:tc>
          <w:tcPr>
            <w:tcW w:w="1176" w:type="dxa"/>
            <w:tcBorders>
              <w:top w:val="nil"/>
              <w:left w:val="nil"/>
              <w:bottom w:val="nil"/>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22,889 </w:t>
            </w:r>
          </w:p>
        </w:tc>
      </w:tr>
      <w:tr w:rsidR="00EB5679" w:rsidRPr="005E4B5D">
        <w:trPr>
          <w:trHeight w:val="240"/>
        </w:trPr>
        <w:tc>
          <w:tcPr>
            <w:tcW w:w="4302"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rPr>
                <w:rFonts w:eastAsia="Times New Roman" w:cs="Arial"/>
                <w:b/>
                <w:bCs/>
                <w:sz w:val="18"/>
                <w:szCs w:val="18"/>
                <w:lang w:val="en-AU"/>
              </w:rPr>
            </w:pPr>
            <w:r w:rsidRPr="005E4B5D">
              <w:rPr>
                <w:rFonts w:eastAsia="Times New Roman" w:cs="Arial"/>
                <w:b/>
                <w:bCs/>
                <w:sz w:val="18"/>
                <w:szCs w:val="18"/>
                <w:lang w:val="en-AU"/>
              </w:rPr>
              <w:t>Net cost/(contribution) of outcome delivery</w:t>
            </w:r>
          </w:p>
        </w:tc>
        <w:tc>
          <w:tcPr>
            <w:tcW w:w="1087"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4,794,563 </w:t>
            </w:r>
          </w:p>
        </w:tc>
        <w:tc>
          <w:tcPr>
            <w:tcW w:w="1087"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4,317,294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4,794,563 </w:t>
            </w:r>
          </w:p>
        </w:tc>
        <w:tc>
          <w:tcPr>
            <w:tcW w:w="1176" w:type="dxa"/>
            <w:tcBorders>
              <w:top w:val="single" w:sz="4" w:space="0" w:color="auto"/>
              <w:left w:val="nil"/>
              <w:bottom w:val="single" w:sz="4" w:space="0" w:color="auto"/>
              <w:right w:val="nil"/>
            </w:tcBorders>
            <w:shd w:val="clear" w:color="auto" w:fill="auto"/>
            <w:noWrap/>
            <w:vAlign w:val="bottom"/>
          </w:tcPr>
          <w:p w:rsidR="00EB5679" w:rsidRPr="005E4B5D" w:rsidRDefault="00EB5679" w:rsidP="00EB5679">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4,317,294 </w:t>
            </w:r>
          </w:p>
        </w:tc>
      </w:tr>
      <w:tr w:rsidR="00EB5679" w:rsidRPr="005E4B5D">
        <w:trPr>
          <w:trHeight w:val="240"/>
        </w:trPr>
        <w:tc>
          <w:tcPr>
            <w:tcW w:w="8828" w:type="dxa"/>
            <w:gridSpan w:val="5"/>
            <w:tcBorders>
              <w:top w:val="nil"/>
              <w:left w:val="nil"/>
              <w:bottom w:val="nil"/>
              <w:right w:val="nil"/>
            </w:tcBorders>
            <w:shd w:val="clear" w:color="auto" w:fill="auto"/>
            <w:noWrap/>
            <w:vAlign w:val="bottom"/>
          </w:tcPr>
          <w:p w:rsidR="00EB5679" w:rsidRPr="005E4B5D" w:rsidRDefault="00EB5679" w:rsidP="00EB5679">
            <w:pPr>
              <w:spacing w:after="0" w:line="240" w:lineRule="auto"/>
              <w:rPr>
                <w:rFonts w:eastAsia="Times New Roman" w:cs="Arial"/>
                <w:sz w:val="18"/>
                <w:szCs w:val="18"/>
                <w:lang w:val="en-AU"/>
              </w:rPr>
            </w:pPr>
          </w:p>
        </w:tc>
      </w:tr>
      <w:tr w:rsidR="00EB5679" w:rsidRPr="005E4B5D">
        <w:trPr>
          <w:trHeight w:val="240"/>
        </w:trPr>
        <w:tc>
          <w:tcPr>
            <w:tcW w:w="8828" w:type="dxa"/>
            <w:gridSpan w:val="5"/>
            <w:tcBorders>
              <w:top w:val="nil"/>
              <w:left w:val="nil"/>
              <w:bottom w:val="nil"/>
              <w:right w:val="nil"/>
            </w:tcBorders>
            <w:shd w:val="clear" w:color="auto" w:fill="auto"/>
          </w:tcPr>
          <w:p w:rsidR="00EB5679" w:rsidRPr="005E4B5D" w:rsidRDefault="00EB5679" w:rsidP="00EB5679">
            <w:pPr>
              <w:spacing w:after="0" w:line="240" w:lineRule="auto"/>
              <w:rPr>
                <w:rFonts w:eastAsia="Times New Roman" w:cs="Arial"/>
                <w:sz w:val="18"/>
                <w:szCs w:val="18"/>
                <w:lang w:val="en-AU"/>
              </w:rPr>
            </w:pPr>
            <w:r w:rsidRPr="005E4B5D">
              <w:rPr>
                <w:rFonts w:eastAsia="Times New Roman" w:cs="Arial"/>
                <w:sz w:val="18"/>
                <w:szCs w:val="18"/>
                <w:lang w:val="en-AU"/>
              </w:rPr>
              <w:t>1. Outcome 1 is described in Note 1.1.</w:t>
            </w:r>
          </w:p>
        </w:tc>
      </w:tr>
    </w:tbl>
    <w:p w:rsidR="00813464" w:rsidRPr="005E4B5D" w:rsidRDefault="00813464">
      <w:pPr>
        <w:rPr>
          <w:rFonts w:cs="Arial"/>
        </w:rPr>
      </w:pPr>
    </w:p>
    <w:p w:rsidR="00813464" w:rsidRPr="005E4B5D" w:rsidRDefault="00813464">
      <w:pPr>
        <w:rPr>
          <w:rFonts w:cs="Arial"/>
        </w:rPr>
      </w:pPr>
      <w:r w:rsidRPr="005E4B5D">
        <w:rPr>
          <w:rFonts w:cs="Arial"/>
        </w:rPr>
        <w:br w:type="page"/>
      </w:r>
    </w:p>
    <w:tbl>
      <w:tblPr>
        <w:tblW w:w="8826" w:type="dxa"/>
        <w:tblInd w:w="108" w:type="dxa"/>
        <w:tblLook w:val="04A0"/>
      </w:tblPr>
      <w:tblGrid>
        <w:gridCol w:w="6196"/>
        <w:gridCol w:w="1176"/>
        <w:gridCol w:w="278"/>
        <w:gridCol w:w="1176"/>
      </w:tblGrid>
      <w:tr w:rsidR="00813464" w:rsidRPr="005E4B5D">
        <w:trPr>
          <w:trHeight w:val="360"/>
        </w:trPr>
        <w:tc>
          <w:tcPr>
            <w:tcW w:w="6196" w:type="dxa"/>
            <w:tcBorders>
              <w:top w:val="nil"/>
              <w:left w:val="nil"/>
              <w:right w:val="nil"/>
            </w:tcBorders>
            <w:shd w:val="clear" w:color="auto" w:fill="auto"/>
            <w:noWrap/>
            <w:vAlign w:val="center"/>
          </w:tcPr>
          <w:p w:rsidR="00813464" w:rsidRPr="005E4B5D" w:rsidRDefault="00813464" w:rsidP="005E4B5D">
            <w:pPr>
              <w:rPr>
                <w:lang w:val="en-AU"/>
              </w:rPr>
            </w:pPr>
            <w:r w:rsidRPr="005E4B5D">
              <w:rPr>
                <w:lang w:val="en-AU"/>
              </w:rPr>
              <w:t>Notes to and forming part of the financial statements</w:t>
            </w:r>
          </w:p>
        </w:tc>
        <w:tc>
          <w:tcPr>
            <w:tcW w:w="1176" w:type="dxa"/>
            <w:tcBorders>
              <w:top w:val="nil"/>
              <w:left w:val="nil"/>
              <w:right w:val="nil"/>
            </w:tcBorders>
            <w:shd w:val="clear" w:color="auto" w:fill="auto"/>
            <w:noWrap/>
            <w:vAlign w:val="center"/>
          </w:tcPr>
          <w:p w:rsidR="00813464" w:rsidRPr="005E4B5D" w:rsidRDefault="00813464" w:rsidP="00813464">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278" w:type="dxa"/>
            <w:tcBorders>
              <w:top w:val="nil"/>
              <w:left w:val="nil"/>
              <w:right w:val="nil"/>
            </w:tcBorders>
            <w:shd w:val="clear" w:color="auto" w:fill="auto"/>
            <w:noWrap/>
            <w:vAlign w:val="center"/>
          </w:tcPr>
          <w:p w:rsidR="00813464" w:rsidRPr="005E4B5D" w:rsidRDefault="00813464" w:rsidP="00813464">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c>
          <w:tcPr>
            <w:tcW w:w="1176" w:type="dxa"/>
            <w:tcBorders>
              <w:top w:val="nil"/>
              <w:left w:val="nil"/>
              <w:right w:val="nil"/>
            </w:tcBorders>
            <w:shd w:val="clear" w:color="auto" w:fill="auto"/>
            <w:noWrap/>
            <w:vAlign w:val="center"/>
          </w:tcPr>
          <w:p w:rsidR="00813464" w:rsidRPr="005E4B5D" w:rsidRDefault="00813464" w:rsidP="00813464">
            <w:pPr>
              <w:spacing w:after="0" w:line="240" w:lineRule="auto"/>
              <w:rPr>
                <w:rFonts w:eastAsia="Times New Roman" w:cs="Arial"/>
                <w:b/>
                <w:bCs/>
                <w:color w:val="FFFFFF"/>
                <w:szCs w:val="22"/>
                <w:lang w:val="en-AU"/>
              </w:rPr>
            </w:pPr>
            <w:r w:rsidRPr="005E4B5D">
              <w:rPr>
                <w:rFonts w:eastAsia="Times New Roman" w:cs="Arial"/>
                <w:b/>
                <w:bCs/>
                <w:color w:val="FFFFFF"/>
                <w:szCs w:val="22"/>
                <w:lang w:val="en-AU"/>
              </w:rPr>
              <w:t> </w:t>
            </w:r>
          </w:p>
        </w:tc>
      </w:tr>
      <w:tr w:rsidR="005E4B5D" w:rsidRPr="005E4B5D">
        <w:trPr>
          <w:trHeight w:val="260"/>
        </w:trPr>
        <w:tc>
          <w:tcPr>
            <w:tcW w:w="8826" w:type="dxa"/>
            <w:gridSpan w:val="4"/>
            <w:tcBorders>
              <w:top w:val="nil"/>
              <w:left w:val="nil"/>
              <w:bottom w:val="single" w:sz="4" w:space="0" w:color="auto"/>
            </w:tcBorders>
            <w:shd w:val="clear" w:color="auto" w:fill="auto"/>
            <w:noWrap/>
          </w:tcPr>
          <w:p w:rsidR="005E4B5D" w:rsidRPr="005E4B5D" w:rsidRDefault="005E4B5D" w:rsidP="005E4B5D">
            <w:pPr>
              <w:pStyle w:val="Financialsnotehead"/>
            </w:pPr>
            <w:r w:rsidRPr="005E4B5D">
              <w:t>Note 19: Net Cash Appropriation Arrangements</w:t>
            </w:r>
          </w:p>
        </w:tc>
      </w:tr>
      <w:tr w:rsidR="00813464" w:rsidRPr="005E4B5D">
        <w:trPr>
          <w:trHeight w:val="240"/>
        </w:trPr>
        <w:tc>
          <w:tcPr>
            <w:tcW w:w="6196" w:type="dxa"/>
            <w:tcBorders>
              <w:top w:val="single" w:sz="4" w:space="0" w:color="auto"/>
              <w:left w:val="nil"/>
              <w:bottom w:val="nil"/>
              <w:right w:val="nil"/>
            </w:tcBorders>
            <w:shd w:val="clear" w:color="auto" w:fill="auto"/>
          </w:tcPr>
          <w:p w:rsidR="00813464" w:rsidRPr="005E4B5D" w:rsidRDefault="00813464" w:rsidP="00813464">
            <w:pPr>
              <w:spacing w:after="0" w:line="240" w:lineRule="auto"/>
              <w:rPr>
                <w:rFonts w:eastAsia="Times New Roman" w:cs="Arial"/>
                <w:b/>
                <w:bCs/>
                <w:sz w:val="18"/>
                <w:szCs w:val="18"/>
                <w:lang w:val="en-AU"/>
              </w:rPr>
            </w:pPr>
          </w:p>
        </w:tc>
        <w:tc>
          <w:tcPr>
            <w:tcW w:w="1176" w:type="dxa"/>
            <w:tcBorders>
              <w:top w:val="single" w:sz="4" w:space="0" w:color="auto"/>
              <w:left w:val="nil"/>
              <w:bottom w:val="nil"/>
              <w:right w:val="nil"/>
            </w:tcBorders>
            <w:shd w:val="clear" w:color="auto" w:fill="auto"/>
          </w:tcPr>
          <w:p w:rsidR="00813464" w:rsidRPr="005E4B5D" w:rsidRDefault="00813464" w:rsidP="00813464">
            <w:pPr>
              <w:spacing w:after="0" w:line="240" w:lineRule="auto"/>
              <w:rPr>
                <w:rFonts w:eastAsia="Times New Roman" w:cs="Arial"/>
                <w:b/>
                <w:bCs/>
                <w:sz w:val="18"/>
                <w:szCs w:val="18"/>
                <w:lang w:val="en-AU"/>
              </w:rPr>
            </w:pPr>
          </w:p>
        </w:tc>
        <w:tc>
          <w:tcPr>
            <w:tcW w:w="278" w:type="dxa"/>
            <w:tcBorders>
              <w:top w:val="single" w:sz="4" w:space="0" w:color="auto"/>
              <w:left w:val="nil"/>
              <w:bottom w:val="nil"/>
              <w:right w:val="nil"/>
            </w:tcBorders>
            <w:shd w:val="clear" w:color="auto" w:fill="auto"/>
          </w:tcPr>
          <w:p w:rsidR="00813464" w:rsidRPr="005E4B5D" w:rsidRDefault="00813464" w:rsidP="00813464">
            <w:pPr>
              <w:spacing w:after="0" w:line="240" w:lineRule="auto"/>
              <w:rPr>
                <w:rFonts w:eastAsia="Times New Roman" w:cs="Arial"/>
                <w:sz w:val="18"/>
                <w:szCs w:val="18"/>
                <w:lang w:val="en-AU"/>
              </w:rPr>
            </w:pPr>
          </w:p>
        </w:tc>
        <w:tc>
          <w:tcPr>
            <w:tcW w:w="1176" w:type="dxa"/>
            <w:tcBorders>
              <w:top w:val="single" w:sz="4" w:space="0" w:color="auto"/>
              <w:left w:val="nil"/>
              <w:bottom w:val="nil"/>
              <w:right w:val="nil"/>
            </w:tcBorders>
            <w:shd w:val="clear" w:color="auto" w:fill="auto"/>
          </w:tcPr>
          <w:p w:rsidR="00813464" w:rsidRPr="005E4B5D" w:rsidRDefault="00813464" w:rsidP="00813464">
            <w:pPr>
              <w:spacing w:after="0" w:line="240" w:lineRule="auto"/>
              <w:rPr>
                <w:rFonts w:eastAsia="Times New Roman" w:cs="Arial"/>
                <w:sz w:val="18"/>
                <w:szCs w:val="18"/>
                <w:lang w:val="en-AU"/>
              </w:rPr>
            </w:pPr>
          </w:p>
        </w:tc>
      </w:tr>
      <w:tr w:rsidR="00813464" w:rsidRPr="005E4B5D">
        <w:trPr>
          <w:trHeight w:val="240"/>
        </w:trPr>
        <w:tc>
          <w:tcPr>
            <w:tcW w:w="6196" w:type="dxa"/>
            <w:tcBorders>
              <w:top w:val="nil"/>
              <w:left w:val="nil"/>
              <w:right w:val="nil"/>
            </w:tcBorders>
            <w:shd w:val="clear" w:color="auto" w:fill="auto"/>
          </w:tcPr>
          <w:p w:rsidR="00813464" w:rsidRPr="005E4B5D" w:rsidRDefault="00813464" w:rsidP="00813464">
            <w:pPr>
              <w:spacing w:after="0" w:line="240" w:lineRule="auto"/>
              <w:rPr>
                <w:rFonts w:eastAsia="Times New Roman" w:cs="Arial"/>
                <w:sz w:val="18"/>
                <w:szCs w:val="18"/>
                <w:lang w:val="en-AU"/>
              </w:rPr>
            </w:pPr>
          </w:p>
        </w:tc>
        <w:tc>
          <w:tcPr>
            <w:tcW w:w="1176" w:type="dxa"/>
            <w:tcBorders>
              <w:top w:val="nil"/>
              <w:left w:val="nil"/>
              <w:right w:val="nil"/>
            </w:tcBorders>
            <w:shd w:val="clear" w:color="auto" w:fill="auto"/>
            <w:vAlign w:val="bottom"/>
          </w:tcPr>
          <w:p w:rsidR="00813464" w:rsidRPr="005E4B5D" w:rsidRDefault="00813464" w:rsidP="00813464">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 2014 </w:t>
            </w:r>
          </w:p>
        </w:tc>
        <w:tc>
          <w:tcPr>
            <w:tcW w:w="278" w:type="dxa"/>
            <w:tcBorders>
              <w:top w:val="nil"/>
              <w:left w:val="nil"/>
              <w:right w:val="nil"/>
            </w:tcBorders>
            <w:shd w:val="clear" w:color="auto" w:fill="auto"/>
            <w:vAlign w:val="bottom"/>
          </w:tcPr>
          <w:p w:rsidR="00813464" w:rsidRPr="005E4B5D" w:rsidRDefault="00813464" w:rsidP="00813464">
            <w:pPr>
              <w:spacing w:after="0" w:line="240" w:lineRule="auto"/>
              <w:jc w:val="right"/>
              <w:rPr>
                <w:rFonts w:eastAsia="Times New Roman" w:cs="Arial"/>
                <w:b/>
                <w:bCs/>
                <w:sz w:val="18"/>
                <w:szCs w:val="18"/>
                <w:lang w:val="en-AU"/>
              </w:rPr>
            </w:pPr>
          </w:p>
        </w:tc>
        <w:tc>
          <w:tcPr>
            <w:tcW w:w="1176" w:type="dxa"/>
            <w:tcBorders>
              <w:top w:val="nil"/>
              <w:left w:val="nil"/>
              <w:right w:val="nil"/>
            </w:tcBorders>
            <w:shd w:val="clear" w:color="auto" w:fill="auto"/>
            <w:vAlign w:val="bottom"/>
          </w:tcPr>
          <w:p w:rsidR="00813464" w:rsidRPr="005E4B5D" w:rsidRDefault="00813464" w:rsidP="00813464">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 2013 </w:t>
            </w:r>
          </w:p>
        </w:tc>
      </w:tr>
      <w:tr w:rsidR="00813464" w:rsidRPr="005E4B5D">
        <w:trPr>
          <w:trHeight w:val="240"/>
        </w:trPr>
        <w:tc>
          <w:tcPr>
            <w:tcW w:w="6196" w:type="dxa"/>
            <w:tcBorders>
              <w:top w:val="nil"/>
              <w:left w:val="nil"/>
              <w:bottom w:val="single" w:sz="4" w:space="0" w:color="auto"/>
              <w:right w:val="nil"/>
            </w:tcBorders>
            <w:shd w:val="clear" w:color="auto" w:fill="auto"/>
          </w:tcPr>
          <w:p w:rsidR="00813464" w:rsidRPr="005E4B5D" w:rsidRDefault="00813464" w:rsidP="00813464">
            <w:pPr>
              <w:spacing w:after="0" w:line="240" w:lineRule="auto"/>
              <w:rPr>
                <w:rFonts w:eastAsia="Times New Roman" w:cs="Arial"/>
                <w:sz w:val="18"/>
                <w:szCs w:val="18"/>
                <w:lang w:val="en-AU"/>
              </w:rPr>
            </w:pPr>
          </w:p>
        </w:tc>
        <w:tc>
          <w:tcPr>
            <w:tcW w:w="1176" w:type="dxa"/>
            <w:tcBorders>
              <w:top w:val="nil"/>
              <w:left w:val="nil"/>
              <w:bottom w:val="single" w:sz="4" w:space="0" w:color="auto"/>
              <w:right w:val="nil"/>
            </w:tcBorders>
            <w:shd w:val="clear" w:color="auto" w:fill="auto"/>
          </w:tcPr>
          <w:p w:rsidR="00813464" w:rsidRPr="005E4B5D" w:rsidRDefault="00813464" w:rsidP="00813464">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w:t>
            </w:r>
          </w:p>
        </w:tc>
        <w:tc>
          <w:tcPr>
            <w:tcW w:w="278" w:type="dxa"/>
            <w:tcBorders>
              <w:top w:val="nil"/>
              <w:left w:val="nil"/>
              <w:bottom w:val="single" w:sz="4" w:space="0" w:color="auto"/>
              <w:right w:val="nil"/>
            </w:tcBorders>
            <w:shd w:val="clear" w:color="auto" w:fill="auto"/>
          </w:tcPr>
          <w:p w:rsidR="00813464" w:rsidRPr="005E4B5D" w:rsidRDefault="00813464" w:rsidP="00813464">
            <w:pPr>
              <w:spacing w:after="0" w:line="240" w:lineRule="auto"/>
              <w:jc w:val="right"/>
              <w:rPr>
                <w:rFonts w:eastAsia="Times New Roman" w:cs="Arial"/>
                <w:b/>
                <w:bCs/>
                <w:sz w:val="18"/>
                <w:szCs w:val="18"/>
                <w:lang w:val="en-AU"/>
              </w:rPr>
            </w:pPr>
          </w:p>
        </w:tc>
        <w:tc>
          <w:tcPr>
            <w:tcW w:w="1176" w:type="dxa"/>
            <w:tcBorders>
              <w:top w:val="nil"/>
              <w:left w:val="nil"/>
              <w:bottom w:val="single" w:sz="4" w:space="0" w:color="auto"/>
              <w:right w:val="nil"/>
            </w:tcBorders>
            <w:shd w:val="clear" w:color="auto" w:fill="auto"/>
          </w:tcPr>
          <w:p w:rsidR="00813464" w:rsidRPr="005E4B5D" w:rsidRDefault="00813464" w:rsidP="00813464">
            <w:pPr>
              <w:spacing w:after="0" w:line="240" w:lineRule="auto"/>
              <w:jc w:val="right"/>
              <w:rPr>
                <w:rFonts w:eastAsia="Times New Roman" w:cs="Arial"/>
                <w:sz w:val="18"/>
                <w:szCs w:val="18"/>
                <w:lang w:val="en-AU"/>
              </w:rPr>
            </w:pPr>
            <w:r w:rsidRPr="005E4B5D">
              <w:rPr>
                <w:rFonts w:eastAsia="Times New Roman" w:cs="Arial"/>
                <w:sz w:val="18"/>
                <w:szCs w:val="18"/>
                <w:lang w:val="en-AU"/>
              </w:rPr>
              <w:t>$</w:t>
            </w:r>
          </w:p>
        </w:tc>
      </w:tr>
      <w:tr w:rsidR="00813464" w:rsidRPr="005E4B5D">
        <w:trPr>
          <w:trHeight w:val="440"/>
        </w:trPr>
        <w:tc>
          <w:tcPr>
            <w:tcW w:w="6196" w:type="dxa"/>
            <w:tcBorders>
              <w:top w:val="single" w:sz="4" w:space="0" w:color="auto"/>
              <w:left w:val="nil"/>
              <w:bottom w:val="nil"/>
              <w:right w:val="nil"/>
            </w:tcBorders>
            <w:shd w:val="clear" w:color="auto" w:fill="auto"/>
            <w:vAlign w:val="bottom"/>
          </w:tcPr>
          <w:p w:rsidR="005509F4" w:rsidRDefault="005509F4" w:rsidP="00813464">
            <w:pPr>
              <w:spacing w:after="0" w:line="240" w:lineRule="auto"/>
              <w:rPr>
                <w:rFonts w:eastAsia="Times New Roman" w:cs="Arial"/>
                <w:b/>
                <w:bCs/>
                <w:sz w:val="18"/>
                <w:szCs w:val="18"/>
                <w:lang w:val="en-AU"/>
              </w:rPr>
            </w:pPr>
          </w:p>
          <w:p w:rsidR="00813464" w:rsidRPr="005E4B5D" w:rsidRDefault="00813464" w:rsidP="00813464">
            <w:pPr>
              <w:spacing w:after="0" w:line="240" w:lineRule="auto"/>
              <w:rPr>
                <w:rFonts w:eastAsia="Times New Roman" w:cs="Arial"/>
                <w:b/>
                <w:bCs/>
                <w:sz w:val="18"/>
                <w:szCs w:val="18"/>
                <w:lang w:val="en-AU"/>
              </w:rPr>
            </w:pPr>
            <w:r w:rsidRPr="005E4B5D">
              <w:rPr>
                <w:rFonts w:eastAsia="Times New Roman" w:cs="Arial"/>
                <w:b/>
                <w:bCs/>
                <w:sz w:val="18"/>
                <w:szCs w:val="18"/>
                <w:lang w:val="en-AU"/>
              </w:rPr>
              <w:t>Total comprehensive income (loss) less depreciation/amortisation expenses previously funded through revenue appropriations</w:t>
            </w:r>
            <w:r w:rsidRPr="005E4B5D">
              <w:rPr>
                <w:rFonts w:eastAsia="Times New Roman" w:cs="Arial"/>
                <w:b/>
                <w:bCs/>
                <w:sz w:val="18"/>
                <w:szCs w:val="18"/>
                <w:vertAlign w:val="superscript"/>
                <w:lang w:val="en-AU"/>
              </w:rPr>
              <w:t>1</w:t>
            </w:r>
          </w:p>
        </w:tc>
        <w:tc>
          <w:tcPr>
            <w:tcW w:w="1176" w:type="dxa"/>
            <w:tcBorders>
              <w:top w:val="single" w:sz="4" w:space="0" w:color="auto"/>
              <w:left w:val="nil"/>
              <w:bottom w:val="nil"/>
              <w:right w:val="nil"/>
            </w:tcBorders>
            <w:shd w:val="clear" w:color="auto" w:fill="auto"/>
            <w:noWrap/>
            <w:vAlign w:val="bottom"/>
          </w:tcPr>
          <w:p w:rsidR="00813464" w:rsidRPr="005E4B5D" w:rsidRDefault="00813464" w:rsidP="00813464">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1,118,795 </w:t>
            </w:r>
          </w:p>
        </w:tc>
        <w:tc>
          <w:tcPr>
            <w:tcW w:w="278" w:type="dxa"/>
            <w:tcBorders>
              <w:top w:val="single" w:sz="4" w:space="0" w:color="auto"/>
              <w:left w:val="nil"/>
              <w:bottom w:val="nil"/>
              <w:right w:val="nil"/>
            </w:tcBorders>
            <w:shd w:val="clear" w:color="auto" w:fill="auto"/>
            <w:vAlign w:val="bottom"/>
          </w:tcPr>
          <w:p w:rsidR="00813464" w:rsidRPr="005E4B5D" w:rsidRDefault="00813464" w:rsidP="00813464">
            <w:pPr>
              <w:spacing w:after="0" w:line="240" w:lineRule="auto"/>
              <w:jc w:val="right"/>
              <w:rPr>
                <w:rFonts w:eastAsia="Times New Roman" w:cs="Arial"/>
                <w:b/>
                <w:bCs/>
                <w:sz w:val="18"/>
                <w:szCs w:val="18"/>
                <w:lang w:val="en-AU"/>
              </w:rPr>
            </w:pPr>
          </w:p>
        </w:tc>
        <w:tc>
          <w:tcPr>
            <w:tcW w:w="1176" w:type="dxa"/>
            <w:tcBorders>
              <w:top w:val="single" w:sz="4" w:space="0" w:color="auto"/>
              <w:left w:val="nil"/>
              <w:bottom w:val="nil"/>
              <w:right w:val="nil"/>
            </w:tcBorders>
            <w:shd w:val="clear" w:color="auto" w:fill="auto"/>
            <w:noWrap/>
            <w:vAlign w:val="bottom"/>
          </w:tcPr>
          <w:p w:rsidR="00813464" w:rsidRPr="005E4B5D" w:rsidRDefault="00813464" w:rsidP="00813464">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1,602,378 </w:t>
            </w:r>
          </w:p>
        </w:tc>
      </w:tr>
      <w:tr w:rsidR="00813464" w:rsidRPr="005E4B5D">
        <w:trPr>
          <w:trHeight w:val="600"/>
        </w:trPr>
        <w:tc>
          <w:tcPr>
            <w:tcW w:w="6196" w:type="dxa"/>
            <w:tcBorders>
              <w:top w:val="nil"/>
              <w:left w:val="nil"/>
              <w:bottom w:val="nil"/>
              <w:right w:val="nil"/>
            </w:tcBorders>
            <w:shd w:val="clear" w:color="auto" w:fill="auto"/>
          </w:tcPr>
          <w:p w:rsidR="00813464" w:rsidRPr="005E4B5D" w:rsidRDefault="00813464" w:rsidP="00813464">
            <w:pPr>
              <w:spacing w:after="0" w:line="240" w:lineRule="auto"/>
              <w:rPr>
                <w:rFonts w:eastAsia="Times New Roman" w:cs="Arial"/>
                <w:sz w:val="18"/>
                <w:szCs w:val="18"/>
                <w:lang w:val="en-AU"/>
              </w:rPr>
            </w:pPr>
            <w:r w:rsidRPr="005E4B5D">
              <w:rPr>
                <w:rFonts w:eastAsia="Times New Roman" w:cs="Arial"/>
                <w:sz w:val="18"/>
                <w:szCs w:val="18"/>
                <w:lang w:val="en-AU"/>
              </w:rPr>
              <w:t>Plus: depreciation/amortisation expenses previously funded through revenue appropriation</w:t>
            </w:r>
          </w:p>
        </w:tc>
        <w:tc>
          <w:tcPr>
            <w:tcW w:w="1176" w:type="dxa"/>
            <w:tcBorders>
              <w:top w:val="nil"/>
              <w:left w:val="nil"/>
              <w:bottom w:val="nil"/>
              <w:right w:val="nil"/>
            </w:tcBorders>
            <w:shd w:val="clear" w:color="auto" w:fill="auto"/>
            <w:noWrap/>
            <w:vAlign w:val="bottom"/>
          </w:tcPr>
          <w:p w:rsidR="00813464" w:rsidRPr="005E4B5D" w:rsidRDefault="00813464" w:rsidP="00813464">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(153,475)</w:t>
            </w:r>
          </w:p>
        </w:tc>
        <w:tc>
          <w:tcPr>
            <w:tcW w:w="278" w:type="dxa"/>
            <w:tcBorders>
              <w:top w:val="nil"/>
              <w:left w:val="nil"/>
              <w:bottom w:val="nil"/>
              <w:right w:val="nil"/>
            </w:tcBorders>
            <w:shd w:val="clear" w:color="auto" w:fill="auto"/>
            <w:vAlign w:val="bottom"/>
          </w:tcPr>
          <w:p w:rsidR="00813464" w:rsidRPr="005E4B5D" w:rsidRDefault="00813464" w:rsidP="00813464">
            <w:pPr>
              <w:spacing w:after="0" w:line="240" w:lineRule="auto"/>
              <w:jc w:val="right"/>
              <w:rPr>
                <w:rFonts w:eastAsia="Times New Roman" w:cs="Arial"/>
                <w:b/>
                <w:bCs/>
                <w:sz w:val="18"/>
                <w:szCs w:val="18"/>
                <w:lang w:val="en-AU"/>
              </w:rPr>
            </w:pPr>
          </w:p>
        </w:tc>
        <w:tc>
          <w:tcPr>
            <w:tcW w:w="1176" w:type="dxa"/>
            <w:tcBorders>
              <w:top w:val="nil"/>
              <w:left w:val="nil"/>
              <w:bottom w:val="nil"/>
              <w:right w:val="nil"/>
            </w:tcBorders>
            <w:shd w:val="clear" w:color="auto" w:fill="auto"/>
            <w:noWrap/>
            <w:vAlign w:val="bottom"/>
          </w:tcPr>
          <w:p w:rsidR="00813464" w:rsidRPr="005E4B5D" w:rsidRDefault="00813464" w:rsidP="00813464">
            <w:pPr>
              <w:spacing w:after="0" w:line="240" w:lineRule="auto"/>
              <w:jc w:val="right"/>
              <w:rPr>
                <w:rFonts w:eastAsia="Times New Roman" w:cs="Arial"/>
                <w:sz w:val="18"/>
                <w:szCs w:val="18"/>
                <w:lang w:val="en-AU"/>
              </w:rPr>
            </w:pPr>
            <w:r w:rsidRPr="005E4B5D">
              <w:rPr>
                <w:rFonts w:eastAsia="Times New Roman" w:cs="Arial"/>
                <w:sz w:val="18"/>
                <w:szCs w:val="18"/>
                <w:lang w:val="en-AU"/>
              </w:rPr>
              <w:t>(180,672)</w:t>
            </w:r>
          </w:p>
        </w:tc>
      </w:tr>
      <w:tr w:rsidR="00813464" w:rsidRPr="005E4B5D">
        <w:trPr>
          <w:trHeight w:val="440"/>
        </w:trPr>
        <w:tc>
          <w:tcPr>
            <w:tcW w:w="6196" w:type="dxa"/>
            <w:tcBorders>
              <w:top w:val="nil"/>
              <w:left w:val="nil"/>
              <w:bottom w:val="nil"/>
              <w:right w:val="nil"/>
            </w:tcBorders>
            <w:shd w:val="clear" w:color="auto" w:fill="auto"/>
            <w:vAlign w:val="bottom"/>
          </w:tcPr>
          <w:p w:rsidR="00813464" w:rsidRPr="005E4B5D" w:rsidRDefault="00813464" w:rsidP="00813464">
            <w:pPr>
              <w:spacing w:after="0" w:line="240" w:lineRule="auto"/>
              <w:rPr>
                <w:rFonts w:eastAsia="Times New Roman" w:cs="Arial"/>
                <w:b/>
                <w:bCs/>
                <w:sz w:val="18"/>
                <w:szCs w:val="18"/>
                <w:lang w:val="en-AU"/>
              </w:rPr>
            </w:pPr>
            <w:r w:rsidRPr="005E4B5D">
              <w:rPr>
                <w:rFonts w:eastAsia="Times New Roman" w:cs="Arial"/>
                <w:b/>
                <w:bCs/>
                <w:sz w:val="18"/>
                <w:szCs w:val="18"/>
                <w:lang w:val="en-AU"/>
              </w:rPr>
              <w:t>Total comprehensive income (loss) - as per the Statement of Comprehensive Income</w:t>
            </w:r>
          </w:p>
        </w:tc>
        <w:tc>
          <w:tcPr>
            <w:tcW w:w="1176" w:type="dxa"/>
            <w:tcBorders>
              <w:top w:val="single" w:sz="4" w:space="0" w:color="auto"/>
              <w:left w:val="nil"/>
              <w:bottom w:val="single" w:sz="4" w:space="0" w:color="auto"/>
              <w:right w:val="nil"/>
            </w:tcBorders>
            <w:shd w:val="clear" w:color="auto" w:fill="auto"/>
            <w:noWrap/>
            <w:vAlign w:val="bottom"/>
          </w:tcPr>
          <w:p w:rsidR="00813464" w:rsidRPr="005E4B5D" w:rsidRDefault="00813464" w:rsidP="00813464">
            <w:pPr>
              <w:spacing w:after="0" w:line="240" w:lineRule="auto"/>
              <w:jc w:val="right"/>
              <w:rPr>
                <w:rFonts w:eastAsia="Times New Roman" w:cs="Arial"/>
                <w:b/>
                <w:bCs/>
                <w:sz w:val="18"/>
                <w:szCs w:val="18"/>
                <w:lang w:val="en-AU"/>
              </w:rPr>
            </w:pPr>
            <w:r w:rsidRPr="005E4B5D">
              <w:rPr>
                <w:rFonts w:eastAsia="Times New Roman" w:cs="Arial"/>
                <w:b/>
                <w:bCs/>
                <w:sz w:val="18"/>
                <w:szCs w:val="18"/>
                <w:lang w:val="en-AU"/>
              </w:rPr>
              <w:t xml:space="preserve">965,320 </w:t>
            </w:r>
          </w:p>
        </w:tc>
        <w:tc>
          <w:tcPr>
            <w:tcW w:w="278" w:type="dxa"/>
            <w:tcBorders>
              <w:top w:val="nil"/>
              <w:left w:val="nil"/>
              <w:bottom w:val="nil"/>
              <w:right w:val="nil"/>
            </w:tcBorders>
            <w:shd w:val="clear" w:color="auto" w:fill="auto"/>
            <w:vAlign w:val="bottom"/>
          </w:tcPr>
          <w:p w:rsidR="00813464" w:rsidRPr="005E4B5D" w:rsidRDefault="00813464" w:rsidP="00813464">
            <w:pPr>
              <w:spacing w:after="0" w:line="240" w:lineRule="auto"/>
              <w:jc w:val="right"/>
              <w:rPr>
                <w:rFonts w:eastAsia="Times New Roman" w:cs="Arial"/>
                <w:b/>
                <w:bCs/>
                <w:sz w:val="18"/>
                <w:szCs w:val="18"/>
                <w:lang w:val="en-AU"/>
              </w:rPr>
            </w:pPr>
          </w:p>
        </w:tc>
        <w:tc>
          <w:tcPr>
            <w:tcW w:w="1176" w:type="dxa"/>
            <w:tcBorders>
              <w:top w:val="single" w:sz="4" w:space="0" w:color="auto"/>
              <w:left w:val="nil"/>
              <w:bottom w:val="single" w:sz="4" w:space="0" w:color="auto"/>
              <w:right w:val="nil"/>
            </w:tcBorders>
            <w:shd w:val="clear" w:color="auto" w:fill="auto"/>
            <w:noWrap/>
            <w:vAlign w:val="bottom"/>
          </w:tcPr>
          <w:p w:rsidR="00813464" w:rsidRPr="005E4B5D" w:rsidRDefault="00813464" w:rsidP="00813464">
            <w:pPr>
              <w:spacing w:after="0" w:line="240" w:lineRule="auto"/>
              <w:jc w:val="right"/>
              <w:rPr>
                <w:rFonts w:eastAsia="Times New Roman" w:cs="Arial"/>
                <w:sz w:val="18"/>
                <w:szCs w:val="18"/>
                <w:lang w:val="en-AU"/>
              </w:rPr>
            </w:pPr>
            <w:r w:rsidRPr="005E4B5D">
              <w:rPr>
                <w:rFonts w:eastAsia="Times New Roman" w:cs="Arial"/>
                <w:sz w:val="18"/>
                <w:szCs w:val="18"/>
                <w:lang w:val="en-AU"/>
              </w:rPr>
              <w:t xml:space="preserve">1,421,706 </w:t>
            </w:r>
          </w:p>
        </w:tc>
      </w:tr>
      <w:tr w:rsidR="00813464" w:rsidRPr="005E4B5D">
        <w:trPr>
          <w:trHeight w:val="240"/>
        </w:trPr>
        <w:tc>
          <w:tcPr>
            <w:tcW w:w="6196" w:type="dxa"/>
            <w:tcBorders>
              <w:top w:val="nil"/>
              <w:left w:val="nil"/>
              <w:bottom w:val="nil"/>
              <w:right w:val="nil"/>
            </w:tcBorders>
            <w:shd w:val="clear" w:color="auto" w:fill="auto"/>
          </w:tcPr>
          <w:p w:rsidR="00813464" w:rsidRPr="005E4B5D" w:rsidRDefault="00813464" w:rsidP="00813464">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813464" w:rsidRPr="005E4B5D" w:rsidRDefault="00813464" w:rsidP="00813464">
            <w:pPr>
              <w:spacing w:after="0" w:line="240" w:lineRule="auto"/>
              <w:rPr>
                <w:rFonts w:eastAsia="Times New Roman" w:cs="Arial"/>
                <w:sz w:val="18"/>
                <w:szCs w:val="18"/>
                <w:lang w:val="en-AU"/>
              </w:rPr>
            </w:pPr>
          </w:p>
        </w:tc>
        <w:tc>
          <w:tcPr>
            <w:tcW w:w="278" w:type="dxa"/>
            <w:tcBorders>
              <w:top w:val="nil"/>
              <w:left w:val="nil"/>
              <w:bottom w:val="nil"/>
              <w:right w:val="nil"/>
            </w:tcBorders>
            <w:shd w:val="clear" w:color="auto" w:fill="auto"/>
          </w:tcPr>
          <w:p w:rsidR="00813464" w:rsidRPr="005E4B5D" w:rsidRDefault="00813464" w:rsidP="00813464">
            <w:pPr>
              <w:spacing w:after="0" w:line="240" w:lineRule="auto"/>
              <w:rPr>
                <w:rFonts w:eastAsia="Times New Roman" w:cs="Arial"/>
                <w:sz w:val="18"/>
                <w:szCs w:val="18"/>
                <w:lang w:val="en-AU"/>
              </w:rPr>
            </w:pPr>
          </w:p>
        </w:tc>
        <w:tc>
          <w:tcPr>
            <w:tcW w:w="1176" w:type="dxa"/>
            <w:tcBorders>
              <w:top w:val="nil"/>
              <w:left w:val="nil"/>
              <w:bottom w:val="nil"/>
              <w:right w:val="nil"/>
            </w:tcBorders>
            <w:shd w:val="clear" w:color="auto" w:fill="auto"/>
          </w:tcPr>
          <w:p w:rsidR="00813464" w:rsidRPr="005E4B5D" w:rsidRDefault="00813464" w:rsidP="00813464">
            <w:pPr>
              <w:spacing w:after="0" w:line="240" w:lineRule="auto"/>
              <w:rPr>
                <w:rFonts w:eastAsia="Times New Roman" w:cs="Arial"/>
                <w:sz w:val="18"/>
                <w:szCs w:val="18"/>
                <w:lang w:val="en-AU"/>
              </w:rPr>
            </w:pPr>
          </w:p>
        </w:tc>
      </w:tr>
      <w:tr w:rsidR="00813464" w:rsidRPr="005E4B5D">
        <w:trPr>
          <w:trHeight w:val="1020"/>
        </w:trPr>
        <w:tc>
          <w:tcPr>
            <w:tcW w:w="8826" w:type="dxa"/>
            <w:gridSpan w:val="4"/>
            <w:tcBorders>
              <w:top w:val="nil"/>
              <w:left w:val="nil"/>
              <w:bottom w:val="nil"/>
              <w:right w:val="nil"/>
            </w:tcBorders>
            <w:shd w:val="clear" w:color="auto" w:fill="auto"/>
          </w:tcPr>
          <w:p w:rsidR="005509F4" w:rsidRDefault="005509F4" w:rsidP="00813464">
            <w:pPr>
              <w:spacing w:after="0" w:line="240" w:lineRule="auto"/>
              <w:rPr>
                <w:rFonts w:eastAsia="Times New Roman" w:cs="Arial"/>
                <w:sz w:val="18"/>
                <w:szCs w:val="18"/>
                <w:lang w:val="en-AU"/>
              </w:rPr>
            </w:pPr>
          </w:p>
          <w:p w:rsidR="00813464" w:rsidRPr="005E4B5D" w:rsidRDefault="0041087D" w:rsidP="00813464">
            <w:pPr>
              <w:spacing w:after="0" w:line="240" w:lineRule="auto"/>
              <w:rPr>
                <w:rFonts w:eastAsia="Times New Roman" w:cs="Arial"/>
                <w:sz w:val="18"/>
                <w:szCs w:val="18"/>
                <w:lang w:val="en-AU"/>
              </w:rPr>
            </w:pPr>
            <w:r>
              <w:rPr>
                <w:rFonts w:eastAsia="Times New Roman" w:cs="Arial"/>
                <w:sz w:val="18"/>
                <w:szCs w:val="18"/>
                <w:lang w:val="en-AU"/>
              </w:rPr>
              <w:t>1. From 2010–</w:t>
            </w:r>
            <w:r w:rsidR="00813464" w:rsidRPr="005E4B5D">
              <w:rPr>
                <w:rFonts w:eastAsia="Times New Roman" w:cs="Arial"/>
                <w:sz w:val="18"/>
                <w:szCs w:val="18"/>
                <w:lang w:val="en-AU"/>
              </w:rPr>
              <w:t>11, the Government introduced net cash appropriation arrangements, where revenue appropriations for depreciation/amortisation expenses ceased. Entities now receive a separate capital budget provided through equity appropriations. Capital budgets are to be appropriated in the period when cash payment for capital expenditure is required.</w:t>
            </w:r>
          </w:p>
        </w:tc>
      </w:tr>
    </w:tbl>
    <w:p w:rsidR="00ED6B2A" w:rsidRDefault="00ED6B2A">
      <w:r w:rsidRPr="005E4B5D">
        <w:rPr>
          <w:rFonts w:cs="Arial"/>
        </w:rPr>
        <w:br w:type="page"/>
      </w:r>
    </w:p>
    <w:p w:rsidR="00FA6C41" w:rsidRPr="00FA6C41" w:rsidRDefault="00FA6C41" w:rsidP="004C030E">
      <w:pPr>
        <w:pStyle w:val="Heading1"/>
        <w:rPr>
          <w:color w:val="002171"/>
          <w:sz w:val="28"/>
          <w:szCs w:val="28"/>
        </w:rPr>
      </w:pPr>
      <w:bookmarkStart w:id="364" w:name="_Toc276040239"/>
      <w:r w:rsidRPr="00FA6C41">
        <w:t>Appendix 3</w:t>
      </w:r>
      <w:r w:rsidR="004C030E">
        <w:br/>
      </w:r>
      <w:r w:rsidRPr="00FA6C41">
        <w:rPr>
          <w:color w:val="002171"/>
          <w:sz w:val="28"/>
          <w:szCs w:val="28"/>
        </w:rPr>
        <w:t>Freedom of information statement</w:t>
      </w:r>
      <w:bookmarkEnd w:id="364"/>
    </w:p>
    <w:p w:rsidR="00FA6C41" w:rsidRPr="00FA6C41" w:rsidRDefault="00FA6C41" w:rsidP="00D40F94">
      <w:pPr>
        <w:pStyle w:val="bodytext"/>
      </w:pPr>
      <w:r w:rsidRPr="00FA6C41">
        <w:t xml:space="preserve">Agencies subject to the </w:t>
      </w:r>
      <w:r w:rsidRPr="00520168">
        <w:rPr>
          <w:i/>
        </w:rPr>
        <w:t>Freedom of Information Act 1982</w:t>
      </w:r>
      <w:r w:rsidRPr="00FA6C41">
        <w:rPr>
          <w:rFonts w:ascii="SamoSansPro-LightItalic" w:hAnsi="SamoSansPro-LightItalic" w:cs="SamoSansPro-LightItalic"/>
          <w:i/>
          <w:iCs/>
        </w:rPr>
        <w:t xml:space="preserve"> </w:t>
      </w:r>
      <w:r w:rsidRPr="00FA6C41">
        <w:t xml:space="preserve">(FOI Act) are required to publish information to the public as part of the Information Publication Scheme (IPS). This requirement is in Part II of the FOI Act and has replaced the former requirement to publish a section 8 </w:t>
      </w:r>
      <w:proofErr w:type="gramStart"/>
      <w:r w:rsidRPr="00FA6C41">
        <w:t>statement</w:t>
      </w:r>
      <w:proofErr w:type="gramEnd"/>
      <w:r w:rsidRPr="00FA6C41">
        <w:t xml:space="preserve"> in an annual report. Each agency must display on its website a plan showing what information it publishes in accordance with the IPS requirements.</w:t>
      </w:r>
    </w:p>
    <w:p w:rsidR="00FA6C41" w:rsidRPr="00FA6C41" w:rsidRDefault="00FA6C41" w:rsidP="00D40F94">
      <w:pPr>
        <w:pStyle w:val="bodytext"/>
      </w:pPr>
      <w:r w:rsidRPr="00FA6C41">
        <w:t xml:space="preserve">Information on the PSR Agency’s IPS can be accessed via the PSR website at </w:t>
      </w:r>
      <w:r w:rsidRPr="00FA6C41">
        <w:br/>
      </w:r>
      <w:r w:rsidRPr="00520168">
        <w:rPr>
          <w:u w:val="single"/>
        </w:rPr>
        <w:t>www.psr.gov.au/psr-agency-corporate-information/information-publication-scheme.</w:t>
      </w:r>
      <w:r w:rsidRPr="00FA6C41">
        <w:t xml:space="preserve"> </w:t>
      </w:r>
    </w:p>
    <w:p w:rsidR="00FA6C41" w:rsidRPr="00FA6C41" w:rsidRDefault="00FA6C41" w:rsidP="00FA6C41">
      <w:pPr>
        <w:widowControl w:val="0"/>
        <w:suppressAutoHyphens/>
        <w:autoSpaceDE w:val="0"/>
        <w:autoSpaceDN w:val="0"/>
        <w:adjustRightInd w:val="0"/>
        <w:spacing w:before="227" w:line="288" w:lineRule="auto"/>
        <w:textAlignment w:val="center"/>
        <w:rPr>
          <w:rFonts w:ascii="SamoSansPro-Regular" w:hAnsi="SamoSansPro-Regular" w:cs="SamoSansPro-Regular"/>
          <w:color w:val="002171"/>
          <w:sz w:val="21"/>
          <w:szCs w:val="21"/>
          <w:lang w:val="en-GB"/>
        </w:rPr>
      </w:pPr>
      <w:r w:rsidRPr="00FA6C41">
        <w:rPr>
          <w:rFonts w:ascii="SamoSansPro-Regular" w:hAnsi="SamoSansPro-Regular" w:cs="SamoSansPro-Regular"/>
          <w:color w:val="002171"/>
          <w:sz w:val="21"/>
          <w:szCs w:val="21"/>
          <w:lang w:val="en-GB"/>
        </w:rPr>
        <w:t>Contact officer</w:t>
      </w:r>
    </w:p>
    <w:p w:rsidR="00FA6C41" w:rsidRPr="00FA6C41" w:rsidRDefault="00FA6C41" w:rsidP="00D40F94">
      <w:pPr>
        <w:pStyle w:val="bodytext"/>
      </w:pPr>
      <w:r w:rsidRPr="00FA6C41">
        <w:t>All freedom of information requests should be directed to:</w:t>
      </w:r>
    </w:p>
    <w:p w:rsidR="00FA6C41" w:rsidRPr="00FA6C41" w:rsidRDefault="00FA6C41" w:rsidP="00D40F94">
      <w:pPr>
        <w:pStyle w:val="bodytext"/>
      </w:pPr>
      <w:r w:rsidRPr="00FA6C41">
        <w:t xml:space="preserve">The Freedom of Information Officer </w:t>
      </w:r>
      <w:r w:rsidRPr="00FA6C41">
        <w:br/>
        <w:t>Professional Services Review</w:t>
      </w:r>
      <w:r w:rsidRPr="00FA6C41">
        <w:br/>
        <w:t>PO Box 7152</w:t>
      </w:r>
      <w:r w:rsidRPr="00FA6C41">
        <w:br/>
        <w:t>Canberra Business Centre</w:t>
      </w:r>
      <w:r w:rsidRPr="00FA6C41">
        <w:br/>
        <w:t>ACT 2610</w:t>
      </w:r>
    </w:p>
    <w:p w:rsidR="00FA6C41" w:rsidRPr="00FA6C41" w:rsidRDefault="00FA6C41" w:rsidP="00FA6C41">
      <w:pPr>
        <w:widowControl w:val="0"/>
        <w:tabs>
          <w:tab w:val="left" w:pos="4428"/>
          <w:tab w:val="left" w:pos="8856"/>
        </w:tabs>
        <w:suppressAutoHyphens/>
        <w:autoSpaceDE w:val="0"/>
        <w:autoSpaceDN w:val="0"/>
        <w:adjustRightInd w:val="0"/>
        <w:spacing w:before="57" w:after="57" w:line="260" w:lineRule="atLeast"/>
        <w:textAlignment w:val="center"/>
        <w:rPr>
          <w:rFonts w:ascii="ArialNarrow-Bold" w:hAnsi="ArialNarrow-Bold" w:cs="ArialNarrow-Bold"/>
          <w:b/>
          <w:bCs/>
          <w:color w:val="000000"/>
          <w:sz w:val="28"/>
          <w:szCs w:val="28"/>
          <w:lang w:val="en-AU"/>
        </w:rPr>
      </w:pPr>
    </w:p>
    <w:p w:rsidR="00FA6C41" w:rsidRPr="00FA6C41" w:rsidRDefault="00FA6C41" w:rsidP="00FA6C41">
      <w:pPr>
        <w:widowControl w:val="0"/>
        <w:suppressAutoHyphens/>
        <w:autoSpaceDE w:val="0"/>
        <w:autoSpaceDN w:val="0"/>
        <w:adjustRightInd w:val="0"/>
        <w:spacing w:after="200" w:line="264" w:lineRule="auto"/>
        <w:textAlignment w:val="center"/>
        <w:rPr>
          <w:rFonts w:ascii="ArialNarrow-Bold" w:hAnsi="ArialNarrow-Bold" w:cs="ArialNarrow-Bold"/>
          <w:b/>
          <w:bCs/>
          <w:color w:val="000000"/>
          <w:sz w:val="28"/>
          <w:szCs w:val="28"/>
          <w:lang w:val="en-AU"/>
        </w:rPr>
      </w:pPr>
    </w:p>
    <w:p w:rsidR="00FA6C41" w:rsidRPr="00FA6C41" w:rsidRDefault="00FA6C41" w:rsidP="00223AA9">
      <w:pPr>
        <w:pStyle w:val="Heading1"/>
        <w:rPr>
          <w:rFonts w:ascii="ArialNarrow-Bold" w:hAnsi="ArialNarrow-Bold"/>
          <w:sz w:val="32"/>
        </w:rPr>
      </w:pPr>
      <w:bookmarkStart w:id="365" w:name="_Toc275439536"/>
      <w:bookmarkStart w:id="366" w:name="_Toc276040240"/>
      <w:r w:rsidRPr="00FA6C41">
        <w:t>Glossary</w:t>
      </w:r>
      <w:bookmarkEnd w:id="365"/>
      <w:bookmarkEnd w:id="366"/>
      <w:r w:rsidRPr="00FA6C41">
        <w:rPr>
          <w:rFonts w:ascii="ArialNarrow-Bold" w:hAnsi="ArialNarrow-Bold"/>
          <w:sz w:val="32"/>
        </w:rPr>
        <w:t xml:space="preserve"> </w:t>
      </w:r>
    </w:p>
    <w:p w:rsidR="00FA6C41" w:rsidRPr="00FA6C41" w:rsidRDefault="00FA6C41" w:rsidP="00D40F94">
      <w:pPr>
        <w:pStyle w:val="bodytext"/>
      </w:pPr>
      <w:proofErr w:type="gramStart"/>
      <w:r w:rsidRPr="00223AA9">
        <w:rPr>
          <w:rFonts w:ascii="SamoSansPro-Medium" w:hAnsi="SamoSansPro-Medium" w:cs="SamoSansPro-Medium"/>
          <w:i/>
        </w:rPr>
        <w:t>the</w:t>
      </w:r>
      <w:proofErr w:type="gramEnd"/>
      <w:r w:rsidRPr="00223AA9">
        <w:rPr>
          <w:rFonts w:ascii="SamoSansPro-Medium" w:hAnsi="SamoSansPro-Medium" w:cs="SamoSansPro-Medium"/>
          <w:i/>
        </w:rPr>
        <w:t xml:space="preserve"> Act</w:t>
      </w:r>
      <w:r w:rsidRPr="00FA6C41">
        <w:t xml:space="preserve"> means the Health Insurance Act 1973.</w:t>
      </w:r>
    </w:p>
    <w:p w:rsidR="00FA6C41" w:rsidRPr="00FA6C41" w:rsidRDefault="00FA6C41" w:rsidP="00D40F94">
      <w:pPr>
        <w:pStyle w:val="bodytext"/>
      </w:pPr>
      <w:r w:rsidRPr="00223AA9">
        <w:rPr>
          <w:b/>
        </w:rPr>
        <w:t>AMA</w:t>
      </w:r>
      <w:r w:rsidRPr="00FA6C41">
        <w:t xml:space="preserve"> means the Australian Medical Association.</w:t>
      </w:r>
    </w:p>
    <w:p w:rsidR="00FA6C41" w:rsidRPr="00FA6C41" w:rsidRDefault="00FA6C41" w:rsidP="00D40F94">
      <w:pPr>
        <w:pStyle w:val="bodytext"/>
      </w:pPr>
      <w:r w:rsidRPr="00223AA9">
        <w:rPr>
          <w:b/>
        </w:rPr>
        <w:t>Committee</w:t>
      </w:r>
      <w:r w:rsidRPr="00FA6C41">
        <w:t xml:space="preserve"> means a Professional Services Review Committee comprising at least three practitioners appointed under section 93 of the Act. </w:t>
      </w:r>
    </w:p>
    <w:p w:rsidR="00FA6C41" w:rsidRPr="00FA6C41" w:rsidRDefault="00FA6C41" w:rsidP="00D40F94">
      <w:pPr>
        <w:pStyle w:val="bodytext"/>
      </w:pPr>
      <w:r w:rsidRPr="00223AA9">
        <w:rPr>
          <w:b/>
          <w:spacing w:val="-2"/>
        </w:rPr>
        <w:t>Committee member</w:t>
      </w:r>
      <w:r w:rsidRPr="00FA6C41">
        <w:rPr>
          <w:spacing w:val="-2"/>
        </w:rPr>
        <w:t xml:space="preserve"> means a member of a Committee, who must be a current Panel member.</w:t>
      </w:r>
    </w:p>
    <w:p w:rsidR="00FA6C41" w:rsidRPr="00223AA9" w:rsidRDefault="00FA6C41" w:rsidP="00D40F94">
      <w:pPr>
        <w:pStyle w:val="bodytext"/>
        <w:rPr>
          <w:b/>
        </w:rPr>
      </w:pPr>
      <w:r w:rsidRPr="00223AA9">
        <w:rPr>
          <w:b/>
        </w:rPr>
        <w:t>Deputy Director</w:t>
      </w:r>
      <w:r w:rsidRPr="00FA6C41">
        <w:t xml:space="preserve"> means a Deputy Director of Professional Services Review appointed under section 85 of </w:t>
      </w:r>
      <w:r w:rsidRPr="00223AA9">
        <w:rPr>
          <w:b/>
        </w:rPr>
        <w:t>the Act who serves as the chair of a Committee.</w:t>
      </w:r>
    </w:p>
    <w:p w:rsidR="00FA6C41" w:rsidRPr="00FA6C41" w:rsidRDefault="00FA6C41" w:rsidP="00D40F94">
      <w:pPr>
        <w:pStyle w:val="bodytext"/>
      </w:pPr>
      <w:r w:rsidRPr="00223AA9">
        <w:rPr>
          <w:b/>
        </w:rPr>
        <w:t>Determining Authority</w:t>
      </w:r>
      <w:r w:rsidRPr="00FA6C41">
        <w:t xml:space="preserve"> means the independent statutory body established under the section 106Q of the Act.</w:t>
      </w:r>
    </w:p>
    <w:p w:rsidR="00FA6C41" w:rsidRPr="00FA6C41" w:rsidRDefault="00FA6C41" w:rsidP="00D40F94">
      <w:pPr>
        <w:pStyle w:val="bodytext"/>
      </w:pPr>
      <w:r w:rsidRPr="00223AA9">
        <w:rPr>
          <w:b/>
        </w:rPr>
        <w:t>Director</w:t>
      </w:r>
      <w:r w:rsidRPr="00FA6C41">
        <w:t xml:space="preserve"> means the Director of Professional Services Review appointed under section 83 of the Act. Sometimes referred to as the DPSR.</w:t>
      </w:r>
    </w:p>
    <w:p w:rsidR="00FA6C41" w:rsidRPr="00FA6C41" w:rsidRDefault="00FA6C41" w:rsidP="00D40F94">
      <w:pPr>
        <w:pStyle w:val="bodytext"/>
      </w:pPr>
      <w:r w:rsidRPr="00223AA9">
        <w:rPr>
          <w:b/>
        </w:rPr>
        <w:t>DHS</w:t>
      </w:r>
      <w:r w:rsidRPr="00FA6C41">
        <w:t xml:space="preserve"> means the Department of Human Services, which administers the Medicare program and the Pharmaceutical Benefits Scheme. The Department of Human Services refers matters to the Professional Services Review for investigation.</w:t>
      </w:r>
    </w:p>
    <w:p w:rsidR="00FA6C41" w:rsidRPr="00FA6C41" w:rsidRDefault="00FA6C41" w:rsidP="00D40F94">
      <w:pPr>
        <w:pStyle w:val="bodytext"/>
      </w:pPr>
      <w:r w:rsidRPr="00223AA9">
        <w:rPr>
          <w:b/>
        </w:rPr>
        <w:t>Draft determination</w:t>
      </w:r>
      <w:r w:rsidRPr="00FA6C41">
        <w:t xml:space="preserve"> means the draft document containing the proposed action to be taken in a specific case as required by section 106T of the Act.</w:t>
      </w:r>
    </w:p>
    <w:p w:rsidR="00FA6C41" w:rsidRPr="00FA6C41" w:rsidRDefault="00FA6C41" w:rsidP="00D40F94">
      <w:pPr>
        <w:pStyle w:val="bodytext"/>
      </w:pPr>
      <w:r w:rsidRPr="00223AA9">
        <w:rPr>
          <w:b/>
        </w:rPr>
        <w:t>Draft report</w:t>
      </w:r>
      <w:r w:rsidRPr="00FA6C41">
        <w:t xml:space="preserve"> means the preliminary findings of a Committee following a hearing as required by section 106KD of the Act.</w:t>
      </w:r>
    </w:p>
    <w:p w:rsidR="00FA6C41" w:rsidRPr="00FA6C41" w:rsidRDefault="00FA6C41" w:rsidP="00D40F94">
      <w:pPr>
        <w:pStyle w:val="bodytext"/>
      </w:pPr>
      <w:r w:rsidRPr="00223AA9">
        <w:rPr>
          <w:b/>
        </w:rPr>
        <w:t>Final determination</w:t>
      </w:r>
      <w:r w:rsidRPr="00FA6C41">
        <w:t xml:space="preserve"> means the final document containing the action that will be taken in a specific case as required by section 106TA of the Act.</w:t>
      </w:r>
    </w:p>
    <w:p w:rsidR="00FA6C41" w:rsidRPr="00FA6C41" w:rsidRDefault="00FA6C41" w:rsidP="00D40F94">
      <w:pPr>
        <w:pStyle w:val="bodytext"/>
      </w:pPr>
      <w:r w:rsidRPr="00223AA9">
        <w:rPr>
          <w:b/>
          <w:spacing w:val="-2"/>
        </w:rPr>
        <w:t>Final report</w:t>
      </w:r>
      <w:r w:rsidRPr="00FA6C41">
        <w:rPr>
          <w:spacing w:val="-2"/>
        </w:rPr>
        <w:t xml:space="preserve"> means the final findings of a Committee following assessment of further submissions by a practitioner following the Draft Report as required by section 106L of the Act.</w:t>
      </w:r>
    </w:p>
    <w:p w:rsidR="00FA6C41" w:rsidRPr="00FA6C41" w:rsidRDefault="00FA6C41" w:rsidP="00D40F94">
      <w:pPr>
        <w:pStyle w:val="bodytext"/>
      </w:pPr>
      <w:r w:rsidRPr="00223AA9">
        <w:rPr>
          <w:b/>
        </w:rPr>
        <w:t>Inappropriate practice</w:t>
      </w:r>
      <w:r w:rsidRPr="00FA6C41">
        <w:t xml:space="preserve"> is defined under section 82 of the Act as conduct in connection with rendering or initiating services that a Committee of the practitioner’s peers could reasonably conclude was unacceptable to the general body of their profession.</w:t>
      </w:r>
    </w:p>
    <w:p w:rsidR="00FA6C41" w:rsidRPr="00FA6C41" w:rsidRDefault="00FA6C41" w:rsidP="00D40F94">
      <w:pPr>
        <w:pStyle w:val="bodytext"/>
      </w:pPr>
      <w:r w:rsidRPr="00223AA9">
        <w:rPr>
          <w:b/>
        </w:rPr>
        <w:t>MBS</w:t>
      </w:r>
      <w:r w:rsidRPr="00FA6C41">
        <w:t xml:space="preserve"> means the Medicare Benefits Schedule.</w:t>
      </w:r>
    </w:p>
    <w:p w:rsidR="00FA6C41" w:rsidRPr="00223AA9" w:rsidRDefault="00FA6C41" w:rsidP="00D40F94">
      <w:pPr>
        <w:pStyle w:val="bodytext"/>
      </w:pPr>
      <w:r w:rsidRPr="00223AA9">
        <w:rPr>
          <w:b/>
        </w:rPr>
        <w:t>Medicare</w:t>
      </w:r>
      <w:r w:rsidRPr="00FA6C41">
        <w:t xml:space="preserve"> means the Medicare program administered by the Department of Human Services.</w:t>
      </w:r>
    </w:p>
    <w:p w:rsidR="00FA6C41" w:rsidRPr="00FA6C41" w:rsidRDefault="00FA6C41" w:rsidP="00D40F94">
      <w:pPr>
        <w:pStyle w:val="bodytext"/>
      </w:pPr>
      <w:r w:rsidRPr="00223AA9">
        <w:rPr>
          <w:b/>
        </w:rPr>
        <w:t>Medicare services</w:t>
      </w:r>
      <w:r w:rsidRPr="00FA6C41">
        <w:t xml:space="preserve"> means services provided by a </w:t>
      </w:r>
      <w:proofErr w:type="gramStart"/>
      <w:r w:rsidRPr="00FA6C41">
        <w:t>practitioner which</w:t>
      </w:r>
      <w:proofErr w:type="gramEnd"/>
      <w:r w:rsidRPr="00FA6C41">
        <w:t xml:space="preserve"> generated a Medicare benefit.</w:t>
      </w:r>
    </w:p>
    <w:p w:rsidR="00FA6C41" w:rsidRPr="00FA6C41" w:rsidRDefault="00FA6C41" w:rsidP="00D40F94">
      <w:pPr>
        <w:pStyle w:val="bodytext"/>
      </w:pPr>
      <w:r w:rsidRPr="00223AA9">
        <w:rPr>
          <w:b/>
        </w:rPr>
        <w:t>Minister</w:t>
      </w:r>
      <w:r w:rsidRPr="00FA6C41">
        <w:t xml:space="preserve"> means the Minister for Health.</w:t>
      </w:r>
    </w:p>
    <w:p w:rsidR="00FA6C41" w:rsidRPr="00FA6C41" w:rsidRDefault="00FA6C41" w:rsidP="00D40F94">
      <w:pPr>
        <w:pStyle w:val="bodytext"/>
      </w:pPr>
      <w:r w:rsidRPr="00223AA9">
        <w:rPr>
          <w:b/>
        </w:rPr>
        <w:t>Negotiated agreement</w:t>
      </w:r>
      <w:r w:rsidRPr="00FA6C41">
        <w:t xml:space="preserve"> means a written agreement made under section 92 of the Act.</w:t>
      </w:r>
    </w:p>
    <w:p w:rsidR="00FA6C41" w:rsidRPr="00FA6C41" w:rsidRDefault="00FA6C41" w:rsidP="00D40F94">
      <w:pPr>
        <w:pStyle w:val="bodytext"/>
      </w:pPr>
      <w:r w:rsidRPr="00223AA9">
        <w:rPr>
          <w:b/>
        </w:rPr>
        <w:t>Overservicing</w:t>
      </w:r>
      <w:r w:rsidRPr="00FA6C41">
        <w:t xml:space="preserve"> means providing a patient with services in excess of the patient’s actual medical need.</w:t>
      </w:r>
    </w:p>
    <w:p w:rsidR="00FA6C41" w:rsidRPr="00FA6C41" w:rsidRDefault="00FA6C41" w:rsidP="00D40F94">
      <w:pPr>
        <w:pStyle w:val="bodytext"/>
      </w:pPr>
      <w:r w:rsidRPr="00223AA9">
        <w:rPr>
          <w:b/>
        </w:rPr>
        <w:t>Panel</w:t>
      </w:r>
      <w:r w:rsidRPr="00FA6C41">
        <w:t xml:space="preserve"> means the Professional Services Review Panel established under subsection 84(1) of the Act</w:t>
      </w:r>
      <w:r w:rsidRPr="00FA6C41">
        <w:rPr>
          <w:rFonts w:ascii="SamoSansPro-Italic" w:hAnsi="SamoSansPro-Italic" w:cs="SamoSansPro-Italic"/>
        </w:rPr>
        <w:t>,</w:t>
      </w:r>
      <w:r w:rsidRPr="00FA6C41">
        <w:t xml:space="preserve"> members of which are available for appointment to a Committee.</w:t>
      </w:r>
    </w:p>
    <w:p w:rsidR="00FA6C41" w:rsidRPr="00FA6C41" w:rsidRDefault="00FA6C41" w:rsidP="00D40F94">
      <w:pPr>
        <w:pStyle w:val="bodytext"/>
      </w:pPr>
      <w:r w:rsidRPr="00223AA9">
        <w:rPr>
          <w:b/>
        </w:rPr>
        <w:t>Panel member</w:t>
      </w:r>
      <w:r w:rsidRPr="00FA6C41">
        <w:t xml:space="preserve"> means a practitioner appointed under subsection 84(2) of the Act.</w:t>
      </w:r>
    </w:p>
    <w:p w:rsidR="00FA6C41" w:rsidRPr="00FA6C41" w:rsidRDefault="00FA6C41" w:rsidP="00D40F94">
      <w:pPr>
        <w:pStyle w:val="bodytext"/>
      </w:pPr>
      <w:r w:rsidRPr="00223AA9">
        <w:rPr>
          <w:b/>
        </w:rPr>
        <w:t>PBS</w:t>
      </w:r>
      <w:r w:rsidRPr="00FA6C41">
        <w:t xml:space="preserve"> means the Pharmaceutical Benefits Scheme.</w:t>
      </w:r>
    </w:p>
    <w:p w:rsidR="00FA6C41" w:rsidRPr="00FA6C41" w:rsidRDefault="00FA6C41" w:rsidP="00D40F94">
      <w:pPr>
        <w:pStyle w:val="bodytext"/>
      </w:pPr>
      <w:proofErr w:type="gramStart"/>
      <w:r w:rsidRPr="00223AA9">
        <w:rPr>
          <w:b/>
        </w:rPr>
        <w:t>Peers</w:t>
      </w:r>
      <w:r w:rsidRPr="00FA6C41">
        <w:t xml:space="preserve"> means</w:t>
      </w:r>
      <w:proofErr w:type="gramEnd"/>
      <w:r w:rsidRPr="00FA6C41">
        <w:t xml:space="preserve"> the members of the Professional Services Review Panel who are appointed to represent the general body of their profession.</w:t>
      </w:r>
    </w:p>
    <w:p w:rsidR="00FA6C41" w:rsidRPr="00FA6C41" w:rsidRDefault="00FA6C41" w:rsidP="00223AA9">
      <w:pPr>
        <w:rPr>
          <w:lang w:val="en-GB"/>
        </w:rPr>
      </w:pPr>
      <w:r w:rsidRPr="00223AA9">
        <w:rPr>
          <w:b/>
          <w:lang w:val="en-GB"/>
        </w:rPr>
        <w:t>Practitioner</w:t>
      </w:r>
      <w:r w:rsidRPr="00FA6C41">
        <w:rPr>
          <w:lang w:val="en-GB"/>
        </w:rPr>
        <w:t xml:space="preserve"> means a:</w:t>
      </w:r>
    </w:p>
    <w:p w:rsidR="00FA6C41" w:rsidRPr="00FA6C41" w:rsidRDefault="00FA6C41" w:rsidP="00FA6C41">
      <w:pPr>
        <w:pStyle w:val="ListBullet"/>
        <w:rPr>
          <w:lang w:val="en-GB"/>
        </w:rPr>
      </w:pPr>
      <w:proofErr w:type="gramStart"/>
      <w:r w:rsidRPr="00FA6C41">
        <w:rPr>
          <w:lang w:val="en-GB"/>
        </w:rPr>
        <w:t>medical</w:t>
      </w:r>
      <w:proofErr w:type="gramEnd"/>
      <w:r w:rsidRPr="00FA6C41">
        <w:rPr>
          <w:lang w:val="en-GB"/>
        </w:rPr>
        <w:t xml:space="preserve"> practitioner</w:t>
      </w:r>
    </w:p>
    <w:p w:rsidR="00FA6C41" w:rsidRPr="00FA6C41" w:rsidRDefault="00FA6C41" w:rsidP="00FA6C41">
      <w:pPr>
        <w:pStyle w:val="ListBullet"/>
        <w:rPr>
          <w:lang w:val="en-GB"/>
        </w:rPr>
      </w:pPr>
      <w:proofErr w:type="gramStart"/>
      <w:r w:rsidRPr="00FA6C41">
        <w:rPr>
          <w:lang w:val="en-GB"/>
        </w:rPr>
        <w:t>dental</w:t>
      </w:r>
      <w:proofErr w:type="gramEnd"/>
      <w:r w:rsidRPr="00FA6C41">
        <w:rPr>
          <w:lang w:val="en-GB"/>
        </w:rPr>
        <w:t xml:space="preserve"> practitioner</w:t>
      </w:r>
    </w:p>
    <w:p w:rsidR="00FA6C41" w:rsidRPr="00FA6C41" w:rsidRDefault="00FA6C41" w:rsidP="00FA6C41">
      <w:pPr>
        <w:pStyle w:val="ListBullet"/>
        <w:rPr>
          <w:lang w:val="en-GB"/>
        </w:rPr>
      </w:pPr>
      <w:proofErr w:type="gramStart"/>
      <w:r w:rsidRPr="00FA6C41">
        <w:rPr>
          <w:lang w:val="en-GB"/>
        </w:rPr>
        <w:t>optometrist</w:t>
      </w:r>
      <w:proofErr w:type="gramEnd"/>
    </w:p>
    <w:p w:rsidR="00FA6C41" w:rsidRPr="00FA6C41" w:rsidRDefault="00FA6C41" w:rsidP="00FA6C41">
      <w:pPr>
        <w:pStyle w:val="ListBullet"/>
        <w:rPr>
          <w:lang w:val="en-GB"/>
        </w:rPr>
      </w:pPr>
      <w:proofErr w:type="gramStart"/>
      <w:r w:rsidRPr="00FA6C41">
        <w:rPr>
          <w:lang w:val="en-GB"/>
        </w:rPr>
        <w:t>midwife</w:t>
      </w:r>
      <w:proofErr w:type="gramEnd"/>
    </w:p>
    <w:p w:rsidR="00FA6C41" w:rsidRPr="00FA6C41" w:rsidRDefault="00FA6C41" w:rsidP="00FA6C41">
      <w:pPr>
        <w:pStyle w:val="ListBullet"/>
        <w:rPr>
          <w:lang w:val="en-GB"/>
        </w:rPr>
      </w:pPr>
      <w:proofErr w:type="gramStart"/>
      <w:r w:rsidRPr="00FA6C41">
        <w:rPr>
          <w:lang w:val="en-GB"/>
        </w:rPr>
        <w:t>nurse</w:t>
      </w:r>
      <w:proofErr w:type="gramEnd"/>
      <w:r w:rsidRPr="00FA6C41">
        <w:rPr>
          <w:lang w:val="en-GB"/>
        </w:rPr>
        <w:t xml:space="preserve"> practitioner</w:t>
      </w:r>
    </w:p>
    <w:p w:rsidR="00FA6C41" w:rsidRPr="00FA6C41" w:rsidRDefault="00FA6C41" w:rsidP="00FA6C41">
      <w:pPr>
        <w:pStyle w:val="ListBullet"/>
        <w:rPr>
          <w:lang w:val="en-GB"/>
        </w:rPr>
      </w:pPr>
      <w:proofErr w:type="gramStart"/>
      <w:r w:rsidRPr="00FA6C41">
        <w:rPr>
          <w:lang w:val="en-GB"/>
        </w:rPr>
        <w:t>chiropractor</w:t>
      </w:r>
      <w:proofErr w:type="gramEnd"/>
    </w:p>
    <w:p w:rsidR="00FA6C41" w:rsidRPr="00FA6C41" w:rsidRDefault="00FA6C41" w:rsidP="00FA6C41">
      <w:pPr>
        <w:pStyle w:val="ListBullet"/>
        <w:rPr>
          <w:lang w:val="en-GB"/>
        </w:rPr>
      </w:pPr>
      <w:proofErr w:type="gramStart"/>
      <w:r w:rsidRPr="00FA6C41">
        <w:rPr>
          <w:lang w:val="en-GB"/>
        </w:rPr>
        <w:t>physiotherapist</w:t>
      </w:r>
      <w:proofErr w:type="gramEnd"/>
    </w:p>
    <w:p w:rsidR="00FA6C41" w:rsidRPr="00FA6C41" w:rsidRDefault="00FA6C41" w:rsidP="00FA6C41">
      <w:pPr>
        <w:pStyle w:val="ListBullet"/>
        <w:rPr>
          <w:lang w:val="en-GB"/>
        </w:rPr>
      </w:pPr>
      <w:proofErr w:type="gramStart"/>
      <w:r w:rsidRPr="00FA6C41">
        <w:rPr>
          <w:lang w:val="en-GB"/>
        </w:rPr>
        <w:t>podiatrist</w:t>
      </w:r>
      <w:proofErr w:type="gramEnd"/>
    </w:p>
    <w:p w:rsidR="00FA6C41" w:rsidRPr="00FA6C41" w:rsidRDefault="00FA6C41" w:rsidP="00FA6C41">
      <w:pPr>
        <w:pStyle w:val="ListBullet"/>
        <w:rPr>
          <w:lang w:val="en-GB"/>
        </w:rPr>
      </w:pPr>
      <w:proofErr w:type="gramStart"/>
      <w:r w:rsidRPr="00FA6C41">
        <w:rPr>
          <w:lang w:val="en-GB"/>
        </w:rPr>
        <w:t>osteopath</w:t>
      </w:r>
      <w:proofErr w:type="gramEnd"/>
      <w:r w:rsidRPr="00FA6C41">
        <w:rPr>
          <w:lang w:val="en-GB"/>
        </w:rPr>
        <w:t>.</w:t>
      </w:r>
    </w:p>
    <w:p w:rsidR="00FA6C41" w:rsidRPr="00FA6C41" w:rsidRDefault="00FA6C41" w:rsidP="00D40F94">
      <w:pPr>
        <w:pStyle w:val="bodytext"/>
      </w:pPr>
      <w:r w:rsidRPr="00223AA9">
        <w:rPr>
          <w:b/>
        </w:rPr>
        <w:t>PSR</w:t>
      </w:r>
      <w:r w:rsidRPr="00FA6C41">
        <w:t xml:space="preserve"> means Professional Services Review.</w:t>
      </w:r>
    </w:p>
    <w:p w:rsidR="00FA6C41" w:rsidRPr="00FA6C41" w:rsidRDefault="00FA6C41" w:rsidP="00D40F94">
      <w:pPr>
        <w:pStyle w:val="bodytext"/>
      </w:pPr>
      <w:r w:rsidRPr="00223AA9">
        <w:rPr>
          <w:b/>
        </w:rPr>
        <w:t>Ratify</w:t>
      </w:r>
      <w:r w:rsidRPr="00FA6C41">
        <w:t xml:space="preserve"> means authorise or approve. This term is used when the Determining Authority is deciding whether an agreement with the Director will come into effect.</w:t>
      </w:r>
    </w:p>
    <w:p w:rsidR="00FA6C41" w:rsidRPr="00FA6C41" w:rsidRDefault="00FA6C41" w:rsidP="00D40F94">
      <w:pPr>
        <w:pStyle w:val="bodytext"/>
      </w:pPr>
      <w:r w:rsidRPr="00223AA9">
        <w:rPr>
          <w:b/>
        </w:rPr>
        <w:t>Review period</w:t>
      </w:r>
      <w:r w:rsidRPr="00FA6C41">
        <w:t xml:space="preserve"> means a period of no more than two years before the date of the request for review from DHS as specified in the request to PSR.</w:t>
      </w:r>
    </w:p>
    <w:p w:rsidR="00FA6C41" w:rsidRPr="00FA6C41" w:rsidRDefault="00FA6C41" w:rsidP="00D40F94">
      <w:pPr>
        <w:pStyle w:val="bodytext"/>
        <w:rPr>
          <w:rFonts w:ascii="ArialNarrow-Bold" w:hAnsi="ArialNarrow-Bold" w:cs="ArialNarrow-Bold"/>
          <w:b/>
          <w:bCs/>
          <w:sz w:val="28"/>
          <w:szCs w:val="28"/>
          <w:lang w:val="en-AU"/>
        </w:rPr>
      </w:pPr>
      <w:r w:rsidRPr="00223AA9">
        <w:rPr>
          <w:b/>
        </w:rPr>
        <w:t>Sanction</w:t>
      </w:r>
      <w:r w:rsidRPr="00FA6C41">
        <w:t xml:space="preserve"> means a penalty from a range of directions specified in section 106U of the Act.</w:t>
      </w:r>
    </w:p>
    <w:p w:rsidR="00FA6C41" w:rsidRPr="00FA6C41" w:rsidRDefault="00FA6C41" w:rsidP="00223AA9">
      <w:pPr>
        <w:pStyle w:val="Heading1"/>
      </w:pPr>
      <w:bookmarkStart w:id="367" w:name="_Toc275439537"/>
      <w:bookmarkStart w:id="368" w:name="_Toc276040241"/>
      <w:r w:rsidRPr="00FA6C41">
        <w:t>List of requirements</w:t>
      </w:r>
      <w:bookmarkEnd w:id="367"/>
      <w:bookmarkEnd w:id="368"/>
    </w:p>
    <w:p w:rsidR="00FA6C41" w:rsidRPr="00223AA9" w:rsidRDefault="00FA6C41" w:rsidP="00D40F94">
      <w:pPr>
        <w:pStyle w:val="bodytext"/>
        <w:rPr>
          <w:i/>
        </w:rPr>
      </w:pPr>
      <w:r w:rsidRPr="00FA6C41">
        <w:t xml:space="preserve">The following is a list of requirements for Australian Government annual reports, as approved by the Joint Committee of Public Accounts and Audit under Section 63 and 70 of the </w:t>
      </w:r>
      <w:r w:rsidRPr="00223AA9">
        <w:rPr>
          <w:i/>
        </w:rPr>
        <w:t>Public Service Act 1999.</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68"/>
        <w:gridCol w:w="5014"/>
        <w:gridCol w:w="1946"/>
        <w:gridCol w:w="1708"/>
      </w:tblGrid>
      <w:tr w:rsidR="00FA6C41" w:rsidRPr="005405DF">
        <w:trPr>
          <w:trHeight w:val="60"/>
          <w:tblHeader/>
        </w:trPr>
        <w:tc>
          <w:tcPr>
            <w:tcW w:w="925"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rPr>
                <w:color w:val="FFFFFF" w:themeColor="background1"/>
              </w:rPr>
            </w:pPr>
            <w:r w:rsidRPr="00D40F94">
              <w:rPr>
                <w:color w:val="FFFFFF" w:themeColor="background1"/>
              </w:rPr>
              <w:t>Part of Report</w:t>
            </w:r>
          </w:p>
        </w:tc>
        <w:tc>
          <w:tcPr>
            <w:tcW w:w="2357"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rPr>
                <w:color w:val="FFFFFF" w:themeColor="background1"/>
              </w:rPr>
            </w:pPr>
            <w:r w:rsidRPr="00D40F94">
              <w:rPr>
                <w:color w:val="FFFFFF" w:themeColor="background1"/>
              </w:rPr>
              <w:t>Description</w:t>
            </w:r>
          </w:p>
        </w:tc>
        <w:tc>
          <w:tcPr>
            <w:tcW w:w="915"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rPr>
                <w:color w:val="FFFFFF" w:themeColor="background1"/>
              </w:rPr>
            </w:pPr>
            <w:r w:rsidRPr="00D40F94">
              <w:rPr>
                <w:color w:val="FFFFFF" w:themeColor="background1"/>
              </w:rPr>
              <w:t>Requirement</w:t>
            </w:r>
          </w:p>
        </w:tc>
        <w:tc>
          <w:tcPr>
            <w:tcW w:w="804" w:type="pct"/>
            <w:shd w:val="clear" w:color="auto" w:fill="365F91" w:themeFill="accent1" w:themeFillShade="BF"/>
            <w:tcMar>
              <w:top w:w="85" w:type="dxa"/>
              <w:left w:w="85" w:type="dxa"/>
              <w:bottom w:w="85" w:type="dxa"/>
              <w:right w:w="85" w:type="dxa"/>
            </w:tcMar>
          </w:tcPr>
          <w:p w:rsidR="00FA6C41" w:rsidRPr="00D40F94" w:rsidRDefault="00FA6C41" w:rsidP="00D40F94">
            <w:pPr>
              <w:pStyle w:val="bodytext"/>
              <w:rPr>
                <w:color w:val="FFFFFF" w:themeColor="background1"/>
              </w:rPr>
            </w:pPr>
            <w:r w:rsidRPr="00D40F94">
              <w:rPr>
                <w:color w:val="FFFFFF" w:themeColor="background1"/>
              </w:rPr>
              <w:t>Page Number</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Letter of transmittal</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proofErr w:type="gramStart"/>
            <w:r w:rsidRPr="005405DF">
              <w:t>iv</w:t>
            </w:r>
            <w:proofErr w:type="gramEnd"/>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Table of contents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proofErr w:type="gramStart"/>
            <w:r w:rsidRPr="005405DF">
              <w:t>iv</w:t>
            </w:r>
            <w:proofErr w:type="gramEnd"/>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Index</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92</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Glossary</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87</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Contact officer(s)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proofErr w:type="gramStart"/>
            <w:r w:rsidRPr="005405DF">
              <w:t>iii</w:t>
            </w:r>
            <w:proofErr w:type="gramEnd"/>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Internet home page address and Internet address for report</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proofErr w:type="gramStart"/>
            <w:r w:rsidRPr="005405DF">
              <w:t>iii</w:t>
            </w:r>
            <w:proofErr w:type="gramEnd"/>
          </w:p>
        </w:tc>
      </w:tr>
      <w:tr w:rsidR="00FA6C41" w:rsidRPr="00FA6C41">
        <w:trPr>
          <w:trHeight w:val="60"/>
        </w:trPr>
        <w:tc>
          <w:tcPr>
            <w:tcW w:w="5000" w:type="pct"/>
            <w:gridSpan w:val="4"/>
            <w:shd w:val="clear" w:color="auto" w:fill="B8CCE4" w:themeFill="accent1" w:themeFillTint="66"/>
            <w:tcMar>
              <w:top w:w="85" w:type="dxa"/>
              <w:left w:w="85" w:type="dxa"/>
              <w:bottom w:w="85" w:type="dxa"/>
              <w:right w:w="85" w:type="dxa"/>
            </w:tcMar>
          </w:tcPr>
          <w:p w:rsidR="00FA6C41" w:rsidRPr="005405DF" w:rsidRDefault="00FA6C41" w:rsidP="00D40F94">
            <w:pPr>
              <w:pStyle w:val="bodytext"/>
            </w:pPr>
            <w:r w:rsidRPr="005405DF">
              <w:t>Review by DPSR</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Review by Agency Head</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proofErr w:type="gramStart"/>
            <w:r w:rsidRPr="005405DF">
              <w:t>vii</w:t>
            </w:r>
            <w:proofErr w:type="gramEnd"/>
            <w:r w:rsidRPr="005405DF">
              <w:t>–viii</w:t>
            </w:r>
          </w:p>
        </w:tc>
      </w:tr>
      <w:tr w:rsidR="00FA6C41" w:rsidRPr="00FA6C41">
        <w:trPr>
          <w:trHeight w:val="60"/>
        </w:trPr>
        <w:tc>
          <w:tcPr>
            <w:tcW w:w="5000" w:type="pct"/>
            <w:gridSpan w:val="4"/>
            <w:shd w:val="clear" w:color="auto" w:fill="B8CCE4" w:themeFill="accent1" w:themeFillTint="66"/>
            <w:tcMar>
              <w:top w:w="85" w:type="dxa"/>
              <w:left w:w="85" w:type="dxa"/>
              <w:bottom w:w="85" w:type="dxa"/>
              <w:right w:w="85" w:type="dxa"/>
            </w:tcMar>
          </w:tcPr>
          <w:p w:rsidR="00FA6C41" w:rsidRPr="005405DF" w:rsidRDefault="00FA6C41" w:rsidP="00D40F94">
            <w:pPr>
              <w:pStyle w:val="bodytext"/>
            </w:pPr>
            <w:r w:rsidRPr="005405DF">
              <w:t>Departmental Overview</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Role and functions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1–3</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Organisational structure</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1, 17–18</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Outcome and programme structure</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Where outcome and programme structures differ from PB Statements/PAES or other portfolio statements accompanying any other additional appropriation bills (other portfolio statements), details of variation and reasons for change</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Not Applicable</w:t>
            </w:r>
          </w:p>
        </w:tc>
      </w:tr>
      <w:tr w:rsidR="00FA6C41" w:rsidRPr="00FA6C41">
        <w:trPr>
          <w:trHeight w:val="60"/>
        </w:trPr>
        <w:tc>
          <w:tcPr>
            <w:tcW w:w="5000" w:type="pct"/>
            <w:gridSpan w:val="4"/>
            <w:shd w:val="clear" w:color="auto" w:fill="B8CCE4" w:themeFill="accent1" w:themeFillTint="66"/>
            <w:tcMar>
              <w:top w:w="85" w:type="dxa"/>
              <w:left w:w="85" w:type="dxa"/>
              <w:bottom w:w="85" w:type="dxa"/>
              <w:right w:w="85" w:type="dxa"/>
            </w:tcMar>
          </w:tcPr>
          <w:p w:rsidR="00FA6C41" w:rsidRPr="005405DF" w:rsidRDefault="00FA6C41" w:rsidP="00D40F94">
            <w:pPr>
              <w:pStyle w:val="bodytext"/>
            </w:pPr>
            <w:r w:rsidRPr="005405DF">
              <w:t>Report on Performance</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Review of performance during the year in relation to programmes and contribution to outcomes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3–16</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Actual performance in relation to deliverables and KPIs set out in PB Statements/PAES or other portfolio statements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8–9</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Where performance targets differ from the PBS/PAES, details of both former and new targets, and reasons for the change</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Not Applicable</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Narrative discussion and analysis of performance</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3–16</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Trend information</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3–16</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Factors, events or trends influencing departmental performance</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Suggested</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3–16</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Performance against service charter customer service standards, complaints data, and the department’s response to complaints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If applicable, 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Not Applicable</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Discussion and analysis of the department’s financial performance</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27–28</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Discussion of any significant changes in financial results from the prior year, from budget or anticipated to have a significant impact on future operations.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Not Applicable</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Agency resource statement and summary resource tables by outcomes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32</w:t>
            </w:r>
          </w:p>
        </w:tc>
      </w:tr>
      <w:tr w:rsidR="00FA6C41" w:rsidRPr="00FA6C41">
        <w:trPr>
          <w:trHeight w:val="60"/>
        </w:trPr>
        <w:tc>
          <w:tcPr>
            <w:tcW w:w="5000" w:type="pct"/>
            <w:gridSpan w:val="4"/>
            <w:shd w:val="clear" w:color="auto" w:fill="B8CCE4" w:themeFill="accent1" w:themeFillTint="66"/>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Management and Accountability</w:t>
            </w:r>
          </w:p>
        </w:tc>
      </w:tr>
      <w:tr w:rsidR="00FA6C41" w:rsidRPr="00FA6C41">
        <w:trPr>
          <w:trHeight w:val="60"/>
        </w:trPr>
        <w:tc>
          <w:tcPr>
            <w:tcW w:w="5000" w:type="pct"/>
            <w:gridSpan w:val="4"/>
            <w:shd w:val="clear" w:color="auto" w:fill="auto"/>
            <w:tcMar>
              <w:top w:w="85" w:type="dxa"/>
              <w:left w:w="85" w:type="dxa"/>
              <w:bottom w:w="85" w:type="dxa"/>
              <w:right w:w="85" w:type="dxa"/>
            </w:tcMar>
          </w:tcPr>
          <w:p w:rsidR="00FA6C41" w:rsidRPr="005405DF" w:rsidRDefault="00FA6C41" w:rsidP="00D40F94">
            <w:pPr>
              <w:pStyle w:val="bodytext"/>
            </w:pPr>
            <w:r w:rsidRPr="005405DF">
              <w:t>Corporate Governance</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Agency heads are required to certify that their agency complies with the ‘Commonwealth Fraud Control Guidelines’.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proofErr w:type="gramStart"/>
            <w:r w:rsidRPr="005405DF">
              <w:t>iv</w:t>
            </w:r>
            <w:proofErr w:type="gramEnd"/>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Statement of the main corporate governance practices in place</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17–22</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Senior management committees and their roles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Suggested</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19–22</w:t>
            </w:r>
          </w:p>
        </w:tc>
      </w:tr>
      <w:tr w:rsidR="00FA6C41" w:rsidRPr="00FA6C41">
        <w:trPr>
          <w:trHeight w:val="60"/>
        </w:trPr>
        <w:tc>
          <w:tcPr>
            <w:tcW w:w="5000" w:type="pct"/>
            <w:gridSpan w:val="4"/>
            <w:shd w:val="clear" w:color="auto" w:fill="auto"/>
            <w:tcMar>
              <w:top w:w="85" w:type="dxa"/>
              <w:left w:w="85" w:type="dxa"/>
              <w:bottom w:w="85" w:type="dxa"/>
              <w:right w:w="85" w:type="dxa"/>
            </w:tcMar>
          </w:tcPr>
          <w:p w:rsidR="00FA6C41" w:rsidRPr="005405DF" w:rsidRDefault="00FA6C41" w:rsidP="00D40F94">
            <w:pPr>
              <w:pStyle w:val="bodytext"/>
            </w:pPr>
            <w:r w:rsidRPr="005405DF">
              <w:t>External Scrutiny</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Significant developments in external scrutiny</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21</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Judicial decisions and decisions of administrative tribunals and by the Australian Information Commissioner</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21</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 xml:space="preserve">Reports by the Auditor-General, a Parliamentary Committee. </w:t>
            </w:r>
            <w:proofErr w:type="gramStart"/>
            <w:r w:rsidRPr="005405DF">
              <w:t>the</w:t>
            </w:r>
            <w:proofErr w:type="gramEnd"/>
            <w:r w:rsidRPr="005405DF">
              <w:t xml:space="preserve"> Commonwealth Ombudsman or an agency capability review</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21</w:t>
            </w:r>
          </w:p>
        </w:tc>
      </w:tr>
      <w:tr w:rsidR="00FA6C41" w:rsidRPr="00FA6C41">
        <w:trPr>
          <w:trHeight w:val="60"/>
        </w:trPr>
        <w:tc>
          <w:tcPr>
            <w:tcW w:w="5000" w:type="pct"/>
            <w:gridSpan w:val="4"/>
            <w:shd w:val="clear" w:color="auto" w:fill="auto"/>
            <w:tcMar>
              <w:top w:w="85" w:type="dxa"/>
              <w:left w:w="85" w:type="dxa"/>
              <w:bottom w:w="85" w:type="dxa"/>
              <w:right w:w="85" w:type="dxa"/>
            </w:tcMar>
          </w:tcPr>
          <w:p w:rsidR="00FA6C41" w:rsidRPr="005405DF" w:rsidRDefault="00FA6C41" w:rsidP="00D40F94">
            <w:pPr>
              <w:pStyle w:val="bodytext"/>
            </w:pPr>
            <w:r w:rsidRPr="005405DF">
              <w:t>Management of Human Resources</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Assessment of effectiveness in managing and developing human resources to achieve departmental objectives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22–26</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Training and development undertaken and its impact</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Suggested</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25</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Statistics on staffing</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23–24</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Enterprise or collective agreements, IFAs, determinations, common law contracts and AWAs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24</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Performance pay</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Not Applicable</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r w:rsidRPr="005405DF">
              <w:t>Assets management</w:t>
            </w: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 xml:space="preserve">Assessment of effectiveness of assets management </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If applicable, 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27</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r w:rsidRPr="005405DF">
              <w:t>Purchasing</w:t>
            </w: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Assessment of purchasing against core policies and principles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27</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pStyle w:val="bodytext"/>
            </w:pPr>
            <w:r w:rsidRPr="005405DF">
              <w:t xml:space="preserve">Consultants </w:t>
            </w:r>
          </w:p>
        </w:tc>
        <w:tc>
          <w:tcPr>
            <w:tcW w:w="2357" w:type="pct"/>
            <w:shd w:val="clear" w:color="auto" w:fill="auto"/>
            <w:tcMar>
              <w:top w:w="85" w:type="dxa"/>
              <w:left w:w="85" w:type="dxa"/>
              <w:bottom w:w="85" w:type="dxa"/>
              <w:right w:w="85" w:type="dxa"/>
            </w:tcMar>
          </w:tcPr>
          <w:p w:rsidR="00FA6C41" w:rsidRPr="005405DF" w:rsidRDefault="00FA6C41" w:rsidP="00D40F94">
            <w:pPr>
              <w:pStyle w:val="bodytext"/>
            </w:pPr>
            <w:r w:rsidRPr="005405DF">
              <w:t>The annual report must include a summary statement detailing the number of new consultancy services contracts let during the year; the total actual expenditure on all new consultancy contracts let during the year (inclusive of GST); the number of ongoing consultancy contracts that were active in the reporting year; and the total actual expenditure in the reporting year on the ongoing consultancy contracts (inclusive of GST). The annual report must include a statement noting that information on contracts and consultancies is available through the AusTender website.</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pPr>
            <w:r w:rsidRPr="005405DF">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pPr>
            <w:r w:rsidRPr="005405DF">
              <w:t>28</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suppressAutoHyphens/>
              <w:autoSpaceDE w:val="0"/>
              <w:autoSpaceDN w:val="0"/>
              <w:adjustRightInd w:val="0"/>
              <w:spacing w:before="57" w:after="57" w:line="210" w:lineRule="atLeast"/>
              <w:textAlignment w:val="center"/>
              <w:rPr>
                <w:rFonts w:cs="Arial"/>
                <w:szCs w:val="22"/>
                <w:lang w:val="en-GB"/>
              </w:rPr>
            </w:pPr>
            <w:r w:rsidRPr="005405DF">
              <w:rPr>
                <w:rFonts w:cs="Arial"/>
                <w:szCs w:val="22"/>
                <w:lang w:val="en-GB"/>
              </w:rPr>
              <w:t>Australian National Audit Office Access Clauses</w:t>
            </w: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Absence of provisions in contracts allowing access by the Auditor-General</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28</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suppressAutoHyphens/>
              <w:autoSpaceDE w:val="0"/>
              <w:autoSpaceDN w:val="0"/>
              <w:adjustRightInd w:val="0"/>
              <w:spacing w:before="57" w:after="57" w:line="210" w:lineRule="atLeast"/>
              <w:textAlignment w:val="center"/>
              <w:rPr>
                <w:rFonts w:cs="Arial"/>
                <w:szCs w:val="22"/>
                <w:lang w:val="en-GB"/>
              </w:rPr>
            </w:pPr>
            <w:r w:rsidRPr="005405DF">
              <w:rPr>
                <w:rFonts w:cs="Arial"/>
                <w:szCs w:val="22"/>
                <w:lang w:val="en-GB"/>
              </w:rPr>
              <w:t>Exempt contracts</w:t>
            </w: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Contracts exempted from publication in AusTender</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28</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suppressAutoHyphens/>
              <w:autoSpaceDE w:val="0"/>
              <w:autoSpaceDN w:val="0"/>
              <w:adjustRightInd w:val="0"/>
              <w:spacing w:before="57" w:after="57" w:line="210" w:lineRule="atLeast"/>
              <w:textAlignment w:val="center"/>
              <w:rPr>
                <w:rFonts w:cs="Arial"/>
                <w:szCs w:val="22"/>
                <w:lang w:val="en-GB"/>
              </w:rPr>
            </w:pPr>
            <w:r w:rsidRPr="005405DF">
              <w:rPr>
                <w:rFonts w:cs="Arial"/>
                <w:szCs w:val="22"/>
                <w:lang w:val="en-GB"/>
              </w:rPr>
              <w:t>Financial Statements</w:t>
            </w: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Financial Statements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28</w:t>
            </w:r>
          </w:p>
        </w:tc>
      </w:tr>
      <w:tr w:rsidR="00FA6C41" w:rsidRPr="00FA6C41">
        <w:trPr>
          <w:trHeight w:val="60"/>
        </w:trPr>
        <w:tc>
          <w:tcPr>
            <w:tcW w:w="5000" w:type="pct"/>
            <w:gridSpan w:val="4"/>
            <w:shd w:val="clear" w:color="auto" w:fill="B8CCE4" w:themeFill="accent1" w:themeFillTint="66"/>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Other Mandatory Information</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 xml:space="preserve">Work health and safety (Schedule 2, Part 4 of the </w:t>
            </w:r>
            <w:r w:rsidRPr="005405DF">
              <w:rPr>
                <w:rFonts w:cs="Arial"/>
                <w:i/>
                <w:iCs/>
                <w:szCs w:val="22"/>
              </w:rPr>
              <w:t>Work Health and Safety Act 2011</w:t>
            </w:r>
            <w:r w:rsidRPr="005405DF">
              <w:rPr>
                <w:rFonts w:cs="Arial"/>
                <w:szCs w:val="22"/>
              </w:rPr>
              <w:t>)</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25–26</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 xml:space="preserve">Advertising and Market Research (Section 311A of the </w:t>
            </w:r>
            <w:r w:rsidRPr="005405DF">
              <w:rPr>
                <w:rFonts w:cs="Arial"/>
                <w:i/>
                <w:iCs/>
                <w:szCs w:val="22"/>
              </w:rPr>
              <w:t>Commonwealth Electoral Act 1918</w:t>
            </w:r>
            <w:r w:rsidRPr="005405DF">
              <w:rPr>
                <w:rFonts w:cs="Arial"/>
                <w:szCs w:val="22"/>
              </w:rPr>
              <w:t>) and statement on advertising campaigns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28</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 xml:space="preserve">Ecologically sustainable development and environmental performance (Section 516A of the </w:t>
            </w:r>
            <w:r w:rsidRPr="005405DF">
              <w:rPr>
                <w:rFonts w:cs="Arial"/>
                <w:i/>
                <w:iCs/>
                <w:szCs w:val="22"/>
              </w:rPr>
              <w:t>Environment Protection and Biodiversity Conservation Act 1999</w:t>
            </w:r>
            <w:r w:rsidRPr="005405DF">
              <w:rPr>
                <w:rFonts w:cs="Arial"/>
                <w:szCs w:val="22"/>
              </w:rPr>
              <w:t>)</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29</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 xml:space="preserve">Compliance with the agency’s obligations under the </w:t>
            </w:r>
            <w:r w:rsidRPr="005405DF">
              <w:rPr>
                <w:rFonts w:cs="Arial"/>
                <w:i/>
                <w:iCs/>
                <w:szCs w:val="22"/>
              </w:rPr>
              <w:t>Carer Recognition Act 2010</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If applicable, 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Not Applicable</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Grant programmes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28</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Disability reporting – explicit and transparent reference to agency level information available through other reporting mechanisms</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26</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Information Publication Scheme statement</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86</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Correction of material errors in previous annual report</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If applicable, 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Not Applicable</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 xml:space="preserve">Agency Resource Statements and Resources for Outcomes </w:t>
            </w:r>
          </w:p>
        </w:tc>
        <w:tc>
          <w:tcPr>
            <w:tcW w:w="915"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Mandatory</w:t>
            </w:r>
          </w:p>
        </w:tc>
        <w:tc>
          <w:tcPr>
            <w:tcW w:w="804" w:type="pct"/>
            <w:shd w:val="clear" w:color="auto" w:fill="auto"/>
            <w:tcMar>
              <w:top w:w="85" w:type="dxa"/>
              <w:left w:w="85" w:type="dxa"/>
              <w:bottom w:w="85" w:type="dxa"/>
              <w:right w:w="85" w:type="dxa"/>
            </w:tcMar>
          </w:tcPr>
          <w:p w:rsidR="00FA6C41" w:rsidRPr="005405DF" w:rsidRDefault="00FA6C41" w:rsidP="00D40F94">
            <w:pPr>
              <w:pStyle w:val="bodytext"/>
              <w:rPr>
                <w:rFonts w:cs="Arial"/>
                <w:szCs w:val="22"/>
              </w:rPr>
            </w:pPr>
            <w:r w:rsidRPr="005405DF">
              <w:rPr>
                <w:rFonts w:cs="Arial"/>
                <w:szCs w:val="22"/>
              </w:rPr>
              <w:t>32</w:t>
            </w:r>
          </w:p>
        </w:tc>
      </w:tr>
      <w:tr w:rsidR="00FA6C41" w:rsidRPr="00FA6C41">
        <w:trPr>
          <w:trHeight w:val="60"/>
        </w:trPr>
        <w:tc>
          <w:tcPr>
            <w:tcW w:w="925" w:type="pct"/>
            <w:shd w:val="clear" w:color="auto" w:fill="auto"/>
            <w:tcMar>
              <w:top w:w="85" w:type="dxa"/>
              <w:left w:w="85" w:type="dxa"/>
              <w:bottom w:w="85" w:type="dxa"/>
              <w:right w:w="85" w:type="dxa"/>
            </w:tcMar>
          </w:tcPr>
          <w:p w:rsidR="00FA6C41" w:rsidRPr="005405DF" w:rsidRDefault="00FA6C41" w:rsidP="00D40F94">
            <w:pPr>
              <w:widowControl w:val="0"/>
              <w:autoSpaceDE w:val="0"/>
              <w:autoSpaceDN w:val="0"/>
              <w:adjustRightInd w:val="0"/>
              <w:rPr>
                <w:rFonts w:cs="Arial"/>
                <w:szCs w:val="22"/>
              </w:rPr>
            </w:pPr>
          </w:p>
        </w:tc>
        <w:tc>
          <w:tcPr>
            <w:tcW w:w="2357" w:type="pct"/>
            <w:shd w:val="clear" w:color="auto" w:fill="auto"/>
            <w:tcMar>
              <w:top w:w="85" w:type="dxa"/>
              <w:left w:w="85" w:type="dxa"/>
              <w:bottom w:w="85" w:type="dxa"/>
              <w:right w:w="85" w:type="dxa"/>
            </w:tcMar>
          </w:tcPr>
          <w:p w:rsidR="00FA6C41" w:rsidRPr="005405DF" w:rsidRDefault="00FA6C41" w:rsidP="00D40F94">
            <w:pPr>
              <w:widowControl w:val="0"/>
              <w:suppressAutoHyphens/>
              <w:autoSpaceDE w:val="0"/>
              <w:autoSpaceDN w:val="0"/>
              <w:adjustRightInd w:val="0"/>
              <w:spacing w:before="57" w:after="57" w:line="210" w:lineRule="atLeast"/>
              <w:textAlignment w:val="center"/>
              <w:rPr>
                <w:rFonts w:cs="Arial"/>
                <w:szCs w:val="22"/>
                <w:lang w:val="en-GB"/>
              </w:rPr>
            </w:pPr>
            <w:r w:rsidRPr="005405DF">
              <w:rPr>
                <w:rFonts w:cs="Arial"/>
                <w:szCs w:val="22"/>
                <w:lang w:val="en-GB"/>
              </w:rPr>
              <w:t>List of Requirements</w:t>
            </w:r>
          </w:p>
        </w:tc>
        <w:tc>
          <w:tcPr>
            <w:tcW w:w="915" w:type="pct"/>
            <w:shd w:val="clear" w:color="auto" w:fill="auto"/>
            <w:tcMar>
              <w:top w:w="85" w:type="dxa"/>
              <w:left w:w="85" w:type="dxa"/>
              <w:bottom w:w="85" w:type="dxa"/>
              <w:right w:w="85" w:type="dxa"/>
            </w:tcMar>
          </w:tcPr>
          <w:p w:rsidR="00FA6C41" w:rsidRPr="005405DF" w:rsidRDefault="00FA6C41" w:rsidP="00D40F94">
            <w:pPr>
              <w:widowControl w:val="0"/>
              <w:suppressAutoHyphens/>
              <w:autoSpaceDE w:val="0"/>
              <w:autoSpaceDN w:val="0"/>
              <w:adjustRightInd w:val="0"/>
              <w:spacing w:before="57" w:after="57" w:line="210" w:lineRule="atLeast"/>
              <w:textAlignment w:val="center"/>
              <w:rPr>
                <w:rFonts w:cs="Arial"/>
                <w:szCs w:val="22"/>
                <w:lang w:val="en-GB"/>
              </w:rPr>
            </w:pPr>
            <w:r w:rsidRPr="005405DF">
              <w:rPr>
                <w:rFonts w:cs="Arial"/>
                <w:szCs w:val="22"/>
                <w:lang w:val="en-GB"/>
              </w:rPr>
              <w:t>Mandatory</w:t>
            </w:r>
          </w:p>
        </w:tc>
        <w:tc>
          <w:tcPr>
            <w:tcW w:w="804" w:type="pct"/>
            <w:shd w:val="clear" w:color="auto" w:fill="auto"/>
            <w:tcMar>
              <w:top w:w="85" w:type="dxa"/>
              <w:left w:w="85" w:type="dxa"/>
              <w:bottom w:w="85" w:type="dxa"/>
              <w:right w:w="85" w:type="dxa"/>
            </w:tcMar>
          </w:tcPr>
          <w:p w:rsidR="00FA6C41" w:rsidRPr="005405DF" w:rsidRDefault="00FA6C41" w:rsidP="00D40F94">
            <w:pPr>
              <w:widowControl w:val="0"/>
              <w:suppressAutoHyphens/>
              <w:autoSpaceDE w:val="0"/>
              <w:autoSpaceDN w:val="0"/>
              <w:adjustRightInd w:val="0"/>
              <w:spacing w:before="57" w:after="57" w:line="210" w:lineRule="atLeast"/>
              <w:textAlignment w:val="center"/>
              <w:rPr>
                <w:rFonts w:cs="Arial"/>
                <w:szCs w:val="22"/>
                <w:lang w:val="en-GB"/>
              </w:rPr>
            </w:pPr>
            <w:r w:rsidRPr="005405DF">
              <w:rPr>
                <w:rFonts w:cs="Arial"/>
                <w:szCs w:val="22"/>
                <w:lang w:val="en-GB"/>
              </w:rPr>
              <w:t>89</w:t>
            </w:r>
          </w:p>
        </w:tc>
      </w:tr>
    </w:tbl>
    <w:p w:rsidR="00FA6C41" w:rsidRPr="00FA6C41" w:rsidRDefault="00D40F94" w:rsidP="00FA6C41">
      <w:pPr>
        <w:widowControl w:val="0"/>
        <w:suppressAutoHyphens/>
        <w:autoSpaceDE w:val="0"/>
        <w:autoSpaceDN w:val="0"/>
        <w:adjustRightInd w:val="0"/>
        <w:spacing w:before="57" w:after="57" w:line="210" w:lineRule="atLeast"/>
        <w:textAlignment w:val="center"/>
        <w:rPr>
          <w:rFonts w:ascii="Calibri" w:hAnsi="Calibri" w:cs="Calibri"/>
          <w:color w:val="000000"/>
          <w:szCs w:val="22"/>
          <w:lang w:val="en-AU"/>
        </w:rPr>
      </w:pPr>
      <w:r>
        <w:rPr>
          <w:rFonts w:ascii="Calibri" w:hAnsi="Calibri" w:cs="Calibri"/>
          <w:color w:val="000000"/>
          <w:szCs w:val="22"/>
          <w:lang w:val="en-AU"/>
        </w:rPr>
        <w:br w:type="textWrapping" w:clear="all"/>
      </w:r>
    </w:p>
    <w:p w:rsidR="00FA6C41" w:rsidRPr="00FA6C41" w:rsidRDefault="00223AA9" w:rsidP="00223AA9">
      <w:pPr>
        <w:pStyle w:val="Heading1"/>
      </w:pPr>
      <w:bookmarkStart w:id="369" w:name="_Toc275439538"/>
      <w:bookmarkStart w:id="370" w:name="_Toc276040242"/>
      <w:r>
        <w:t>Index</w:t>
      </w:r>
      <w:bookmarkEnd w:id="369"/>
      <w:bookmarkEnd w:id="370"/>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A</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access</w:t>
      </w:r>
      <w:proofErr w:type="gramEnd"/>
      <w:r w:rsidRPr="00223AA9">
        <w:rPr>
          <w:rFonts w:cs="Arial"/>
          <w:color w:val="000000"/>
          <w:sz w:val="19"/>
          <w:szCs w:val="19"/>
          <w:lang w:val="en-GB"/>
        </w:rPr>
        <w:t xml:space="preserve"> clauses, ANAO, 28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accountability</w:t>
      </w:r>
      <w:proofErr w:type="gramEnd"/>
      <w:r w:rsidRPr="00223AA9">
        <w:rPr>
          <w:rFonts w:cs="Arial"/>
          <w:color w:val="000000"/>
          <w:sz w:val="19"/>
          <w:szCs w:val="19"/>
          <w:lang w:val="en-GB"/>
        </w:rPr>
        <w:t xml:space="preserve"> and management, 17–26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address</w:t>
      </w:r>
      <w:proofErr w:type="gramEnd"/>
      <w:r w:rsidRPr="00223AA9">
        <w:rPr>
          <w:rFonts w:cs="Arial"/>
          <w:color w:val="000000"/>
          <w:sz w:val="19"/>
          <w:szCs w:val="19"/>
          <w:lang w:val="en-GB"/>
        </w:rPr>
        <w:t xml:space="preserve"> and contact details, iii</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freedom</w:t>
      </w:r>
      <w:proofErr w:type="gramEnd"/>
      <w:r w:rsidRPr="00223AA9">
        <w:rPr>
          <w:rFonts w:cs="Arial"/>
          <w:color w:val="000000"/>
          <w:sz w:val="19"/>
          <w:szCs w:val="19"/>
          <w:lang w:val="en-GB"/>
        </w:rPr>
        <w:t xml:space="preserve"> of information, 86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administrative</w:t>
      </w:r>
      <w:proofErr w:type="gramEnd"/>
      <w:r w:rsidRPr="00223AA9">
        <w:rPr>
          <w:rFonts w:cs="Arial"/>
          <w:color w:val="000000"/>
          <w:sz w:val="19"/>
          <w:szCs w:val="19"/>
          <w:lang w:val="en-GB"/>
        </w:rPr>
        <w:t xml:space="preserve"> reviews, 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advertising</w:t>
      </w:r>
      <w:proofErr w:type="gramEnd"/>
      <w:r w:rsidRPr="00223AA9">
        <w:rPr>
          <w:rFonts w:cs="Arial"/>
          <w:color w:val="000000"/>
          <w:sz w:val="19"/>
          <w:szCs w:val="19"/>
          <w:lang w:val="en-GB"/>
        </w:rPr>
        <w:t xml:space="preserve"> and market research, 28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agency</w:t>
      </w:r>
      <w:proofErr w:type="gramEnd"/>
      <w:r w:rsidRPr="00223AA9">
        <w:rPr>
          <w:rFonts w:cs="Arial"/>
          <w:color w:val="000000"/>
          <w:sz w:val="19"/>
          <w:szCs w:val="19"/>
          <w:lang w:val="en-GB"/>
        </w:rPr>
        <w:t xml:space="preserve"> overview, 1–2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agency</w:t>
      </w:r>
      <w:proofErr w:type="gramEnd"/>
      <w:r w:rsidRPr="00223AA9">
        <w:rPr>
          <w:rFonts w:cs="Arial"/>
          <w:color w:val="000000"/>
          <w:sz w:val="19"/>
          <w:szCs w:val="19"/>
          <w:lang w:val="en-GB"/>
        </w:rPr>
        <w:t xml:space="preserve"> resource statement, 32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agreements</w:t>
      </w:r>
      <w:proofErr w:type="gramEnd"/>
      <w:r w:rsidRPr="00223AA9">
        <w:rPr>
          <w:rFonts w:cs="Arial"/>
          <w:color w:val="000000"/>
          <w:sz w:val="19"/>
          <w:szCs w:val="19"/>
          <w:lang w:val="en-GB"/>
        </w:rPr>
        <w:t xml:space="preserve"> </w:t>
      </w:r>
      <w:r w:rsidRPr="00223AA9">
        <w:rPr>
          <w:rFonts w:cs="Arial"/>
          <w:i/>
          <w:iCs/>
          <w:color w:val="000000"/>
          <w:sz w:val="19"/>
          <w:szCs w:val="19"/>
          <w:lang w:val="en-GB"/>
        </w:rPr>
        <w:t>see</w:t>
      </w:r>
      <w:r w:rsidRPr="00223AA9">
        <w:rPr>
          <w:rFonts w:cs="Arial"/>
          <w:color w:val="000000"/>
          <w:sz w:val="19"/>
          <w:szCs w:val="19"/>
          <w:lang w:val="en-GB"/>
        </w:rPr>
        <w:t xml:space="preserve"> negotiated agreements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allied</w:t>
      </w:r>
      <w:proofErr w:type="gramEnd"/>
      <w:r w:rsidRPr="00223AA9">
        <w:rPr>
          <w:rFonts w:cs="Arial"/>
          <w:color w:val="000000"/>
          <w:sz w:val="19"/>
          <w:szCs w:val="19"/>
          <w:lang w:val="en-GB"/>
        </w:rPr>
        <w:t xml:space="preserve"> health practitioners,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alternative</w:t>
      </w:r>
      <w:proofErr w:type="gramEnd"/>
      <w:r w:rsidRPr="00223AA9">
        <w:rPr>
          <w:rFonts w:cs="Arial"/>
          <w:color w:val="000000"/>
          <w:sz w:val="19"/>
          <w:szCs w:val="19"/>
          <w:lang w:val="en-GB"/>
        </w:rPr>
        <w:t xml:space="preserve"> medicines, 12–14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APS Values and Code of Conduct, 22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asset</w:t>
      </w:r>
      <w:proofErr w:type="gramEnd"/>
      <w:r w:rsidRPr="00223AA9">
        <w:rPr>
          <w:rFonts w:cs="Arial"/>
          <w:color w:val="000000"/>
          <w:sz w:val="19"/>
          <w:szCs w:val="19"/>
          <w:lang w:val="en-GB"/>
        </w:rPr>
        <w:t xml:space="preserve"> management, 27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assets</w:t>
      </w:r>
      <w:proofErr w:type="gramEnd"/>
      <w:r w:rsidRPr="00223AA9">
        <w:rPr>
          <w:rFonts w:cs="Arial"/>
          <w:color w:val="000000"/>
          <w:sz w:val="19"/>
          <w:szCs w:val="19"/>
          <w:lang w:val="en-GB"/>
        </w:rPr>
        <w:t>, 38, 61–67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Audit Committee, 20, 21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audit</w:t>
      </w:r>
      <w:proofErr w:type="gramEnd"/>
      <w:r w:rsidRPr="00223AA9">
        <w:rPr>
          <w:rFonts w:cs="Arial"/>
          <w:color w:val="000000"/>
          <w:sz w:val="19"/>
          <w:szCs w:val="19"/>
          <w:lang w:val="en-GB"/>
        </w:rPr>
        <w:t>, internal, 21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Auditor-General, 28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auditors</w:t>
      </w:r>
      <w:proofErr w:type="gramEnd"/>
      <w:r w:rsidRPr="00223AA9">
        <w:rPr>
          <w:rFonts w:cs="Arial"/>
          <w:color w:val="000000"/>
          <w:sz w:val="19"/>
          <w:szCs w:val="19"/>
          <w:lang w:val="en-GB"/>
        </w:rPr>
        <w:t>, remuneration of, 74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AusTender, 28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Australian Health Practitioner Regulation Agency (AHPRA),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referrals</w:t>
      </w:r>
      <w:proofErr w:type="gramEnd"/>
      <w:r w:rsidRPr="00223AA9">
        <w:rPr>
          <w:rFonts w:cs="Arial"/>
          <w:color w:val="000000"/>
          <w:sz w:val="19"/>
          <w:szCs w:val="19"/>
          <w:lang w:val="en-GB"/>
        </w:rPr>
        <w:t xml:space="preserve"> to, 4,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Australian Medical Association,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pacing w:val="-4"/>
          <w:sz w:val="19"/>
          <w:szCs w:val="19"/>
          <w:lang w:val="en-GB"/>
        </w:rPr>
        <w:t>Australian National Audit Office (ANAO), 15, 28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B</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budget</w:t>
      </w:r>
      <w:proofErr w:type="gramEnd"/>
      <w:r w:rsidRPr="00223AA9">
        <w:rPr>
          <w:rFonts w:cs="Arial"/>
          <w:color w:val="000000"/>
          <w:sz w:val="19"/>
          <w:szCs w:val="19"/>
          <w:lang w:val="en-GB"/>
        </w:rPr>
        <w:t>, 27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business</w:t>
      </w:r>
      <w:proofErr w:type="gramEnd"/>
      <w:r w:rsidRPr="00223AA9">
        <w:rPr>
          <w:rFonts w:cs="Arial"/>
          <w:color w:val="000000"/>
          <w:sz w:val="19"/>
          <w:szCs w:val="19"/>
          <w:lang w:val="en-GB"/>
        </w:rPr>
        <w:t xml:space="preserve"> planning, 17–18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C</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Case Management Unit, 18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cash</w:t>
      </w:r>
      <w:proofErr w:type="gramEnd"/>
      <w:r w:rsidRPr="00223AA9">
        <w:rPr>
          <w:rFonts w:cs="Arial"/>
          <w:color w:val="000000"/>
          <w:sz w:val="19"/>
          <w:szCs w:val="19"/>
          <w:lang w:val="en-GB"/>
        </w:rPr>
        <w:t xml:space="preserve"> flow, 40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Chronic Disease Dental Scheme,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chronic</w:t>
      </w:r>
      <w:proofErr w:type="gramEnd"/>
      <w:r w:rsidRPr="00223AA9">
        <w:rPr>
          <w:rFonts w:cs="Arial"/>
          <w:color w:val="000000"/>
          <w:sz w:val="19"/>
          <w:szCs w:val="19"/>
          <w:lang w:val="en-GB"/>
        </w:rPr>
        <w:t xml:space="preserve"> disease management items, 9–11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t xml:space="preserve">80/20 </w:t>
      </w:r>
      <w:proofErr w:type="gramStart"/>
      <w:r w:rsidRPr="00223AA9">
        <w:rPr>
          <w:rFonts w:cs="Arial"/>
          <w:color w:val="000000"/>
          <w:sz w:val="19"/>
          <w:szCs w:val="19"/>
          <w:lang w:val="en-GB"/>
        </w:rPr>
        <w:t>rule</w:t>
      </w:r>
      <w:proofErr w:type="gramEnd"/>
      <w:r w:rsidRPr="00223AA9">
        <w:rPr>
          <w:rFonts w:cs="Arial"/>
          <w:color w:val="000000"/>
          <w:sz w:val="19"/>
          <w:szCs w:val="19"/>
          <w:lang w:val="en-GB"/>
        </w:rPr>
        <w:t>, 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data</w:t>
      </w:r>
      <w:proofErr w:type="gramEnd"/>
      <w:r w:rsidRPr="00223AA9">
        <w:rPr>
          <w:rFonts w:cs="Arial"/>
          <w:color w:val="000000"/>
          <w:sz w:val="19"/>
          <w:szCs w:val="19"/>
          <w:lang w:val="en-GB"/>
        </w:rPr>
        <w:t xml:space="preserve"> on,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chronic</w:t>
      </w:r>
      <w:proofErr w:type="gramEnd"/>
      <w:r w:rsidRPr="00223AA9">
        <w:rPr>
          <w:rFonts w:cs="Arial"/>
          <w:color w:val="000000"/>
          <w:sz w:val="19"/>
          <w:szCs w:val="19"/>
          <w:lang w:val="en-GB"/>
        </w:rPr>
        <w:t xml:space="preserve"> fatigue syndrome, 14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chronic</w:t>
      </w:r>
      <w:proofErr w:type="gramEnd"/>
      <w:r w:rsidRPr="00223AA9">
        <w:rPr>
          <w:rFonts w:cs="Arial"/>
          <w:color w:val="000000"/>
          <w:sz w:val="19"/>
          <w:szCs w:val="19"/>
          <w:lang w:val="en-GB"/>
        </w:rPr>
        <w:t xml:space="preserve"> pain treatments, 12–13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classifications</w:t>
      </w:r>
      <w:proofErr w:type="gramEnd"/>
      <w:r w:rsidRPr="00223AA9">
        <w:rPr>
          <w:rFonts w:cs="Arial"/>
          <w:color w:val="000000"/>
          <w:sz w:val="19"/>
          <w:szCs w:val="19"/>
          <w:lang w:val="en-GB"/>
        </w:rPr>
        <w:t xml:space="preserve"> of staff,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clinical</w:t>
      </w:r>
      <w:proofErr w:type="gramEnd"/>
      <w:r w:rsidRPr="00223AA9">
        <w:rPr>
          <w:rFonts w:cs="Arial"/>
          <w:color w:val="000000"/>
          <w:sz w:val="19"/>
          <w:szCs w:val="19"/>
          <w:lang w:val="en-GB"/>
        </w:rPr>
        <w:t xml:space="preserve"> records, provision of,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committees</w:t>
      </w:r>
      <w:proofErr w:type="gramEnd"/>
      <w:r w:rsidRPr="00223AA9">
        <w:rPr>
          <w:rFonts w:cs="Arial"/>
          <w:color w:val="000000"/>
          <w:sz w:val="19"/>
          <w:szCs w:val="19"/>
          <w:lang w:val="en-GB"/>
        </w:rPr>
        <w:t xml:space="preserve"> </w:t>
      </w:r>
      <w:r w:rsidRPr="00223AA9">
        <w:rPr>
          <w:rFonts w:cs="Arial"/>
          <w:i/>
          <w:iCs/>
          <w:color w:val="000000"/>
          <w:sz w:val="19"/>
          <w:szCs w:val="19"/>
          <w:lang w:val="en-GB"/>
        </w:rPr>
        <w:t>see</w:t>
      </w:r>
      <w:r w:rsidRPr="00223AA9">
        <w:rPr>
          <w:rFonts w:cs="Arial"/>
          <w:color w:val="000000"/>
          <w:sz w:val="19"/>
          <w:szCs w:val="19"/>
          <w:lang w:val="en-GB"/>
        </w:rPr>
        <w:t xml:space="preserve"> Professional Services </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Review committees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consultants</w:t>
      </w:r>
      <w:proofErr w:type="gramEnd"/>
      <w:r w:rsidRPr="00223AA9">
        <w:rPr>
          <w:rFonts w:cs="Arial"/>
          <w:color w:val="000000"/>
          <w:sz w:val="19"/>
          <w:szCs w:val="19"/>
          <w:lang w:val="en-GB"/>
        </w:rPr>
        <w:t>, 28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contact</w:t>
      </w:r>
      <w:proofErr w:type="gramEnd"/>
      <w:r w:rsidRPr="00223AA9">
        <w:rPr>
          <w:rFonts w:cs="Arial"/>
          <w:color w:val="000000"/>
          <w:sz w:val="19"/>
          <w:szCs w:val="19"/>
          <w:lang w:val="en-GB"/>
        </w:rPr>
        <w:t xml:space="preserve"> details </w:t>
      </w:r>
      <w:r w:rsidRPr="00223AA9">
        <w:rPr>
          <w:rFonts w:cs="Arial"/>
          <w:i/>
          <w:iCs/>
          <w:color w:val="000000"/>
          <w:sz w:val="19"/>
          <w:szCs w:val="19"/>
          <w:lang w:val="en-GB"/>
        </w:rPr>
        <w:t>see</w:t>
      </w:r>
      <w:r w:rsidRPr="00223AA9">
        <w:rPr>
          <w:rFonts w:cs="Arial"/>
          <w:color w:val="000000"/>
          <w:sz w:val="19"/>
          <w:szCs w:val="19"/>
          <w:lang w:val="en-GB"/>
        </w:rPr>
        <w:t xml:space="preserve"> address and </w:t>
      </w:r>
      <w:r w:rsidRPr="00223AA9">
        <w:rPr>
          <w:rFonts w:cs="Arial"/>
          <w:color w:val="000000"/>
          <w:sz w:val="19"/>
          <w:szCs w:val="19"/>
          <w:lang w:val="en-GB"/>
        </w:rPr>
        <w:br/>
        <w:t>contact details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continuing</w:t>
      </w:r>
      <w:proofErr w:type="gramEnd"/>
      <w:r w:rsidRPr="00223AA9">
        <w:rPr>
          <w:rFonts w:cs="Arial"/>
          <w:color w:val="000000"/>
          <w:sz w:val="19"/>
          <w:szCs w:val="19"/>
          <w:lang w:val="en-GB"/>
        </w:rPr>
        <w:t xml:space="preserve"> education requirements, health </w:t>
      </w:r>
      <w:r w:rsidRPr="00223AA9">
        <w:rPr>
          <w:rFonts w:cs="Arial"/>
          <w:color w:val="000000"/>
          <w:sz w:val="19"/>
          <w:szCs w:val="19"/>
          <w:lang w:val="en-GB"/>
        </w:rPr>
        <w:tab/>
        <w:t>practitioners, 15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 xml:space="preserve">Coote, Dr Bill (Director), vii–viii, 17 </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corporate</w:t>
      </w:r>
      <w:proofErr w:type="gramEnd"/>
      <w:r w:rsidRPr="00223AA9">
        <w:rPr>
          <w:rFonts w:cs="Arial"/>
          <w:color w:val="000000"/>
          <w:sz w:val="19"/>
          <w:szCs w:val="19"/>
          <w:lang w:val="en-GB"/>
        </w:rPr>
        <w:t xml:space="preserve"> governance, 17–18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Corporate Support Unit, 18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counselling</w:t>
      </w:r>
      <w:proofErr w:type="gramEnd"/>
      <w:r w:rsidRPr="00223AA9">
        <w:rPr>
          <w:rFonts w:cs="Arial"/>
          <w:color w:val="000000"/>
          <w:sz w:val="19"/>
          <w:szCs w:val="19"/>
          <w:lang w:val="en-GB"/>
        </w:rPr>
        <w:t xml:space="preserve"> directions,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court</w:t>
      </w:r>
      <w:proofErr w:type="gramEnd"/>
      <w:r w:rsidRPr="00223AA9">
        <w:rPr>
          <w:rFonts w:cs="Arial"/>
          <w:color w:val="000000"/>
          <w:sz w:val="19"/>
          <w:szCs w:val="19"/>
          <w:lang w:val="en-GB"/>
        </w:rPr>
        <w:t xml:space="preserve"> actions, 7, 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D</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decisions</w:t>
      </w:r>
      <w:proofErr w:type="gramEnd"/>
      <w:r w:rsidRPr="00223AA9">
        <w:rPr>
          <w:rFonts w:cs="Arial"/>
          <w:color w:val="000000"/>
          <w:sz w:val="19"/>
          <w:szCs w:val="19"/>
          <w:lang w:val="en-GB"/>
        </w:rPr>
        <w:t xml:space="preserve"> review, 7, 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deliverables</w:t>
      </w:r>
      <w:proofErr w:type="gramEnd"/>
      <w:r w:rsidRPr="00223AA9">
        <w:rPr>
          <w:rFonts w:cs="Arial"/>
          <w:color w:val="000000"/>
          <w:sz w:val="19"/>
          <w:szCs w:val="19"/>
          <w:lang w:val="en-GB"/>
        </w:rPr>
        <w:t>, 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dental</w:t>
      </w:r>
      <w:proofErr w:type="gramEnd"/>
      <w:r w:rsidRPr="00223AA9">
        <w:rPr>
          <w:rFonts w:cs="Arial"/>
          <w:color w:val="000000"/>
          <w:sz w:val="19"/>
          <w:szCs w:val="19"/>
          <w:lang w:val="en-GB"/>
        </w:rPr>
        <w:t xml:space="preserve"> treatment,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Department of Health,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pacing w:val="-4"/>
          <w:sz w:val="19"/>
          <w:szCs w:val="19"/>
          <w:lang w:val="en-GB"/>
        </w:rPr>
        <w:t>chronic</w:t>
      </w:r>
      <w:proofErr w:type="gramEnd"/>
      <w:r w:rsidRPr="00223AA9">
        <w:rPr>
          <w:rFonts w:cs="Arial"/>
          <w:color w:val="000000"/>
          <w:spacing w:val="-4"/>
          <w:sz w:val="19"/>
          <w:szCs w:val="19"/>
          <w:lang w:val="en-GB"/>
        </w:rPr>
        <w:t xml:space="preserve"> disease management publication, 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shared</w:t>
      </w:r>
      <w:proofErr w:type="gramEnd"/>
      <w:r w:rsidRPr="00223AA9">
        <w:rPr>
          <w:rFonts w:cs="Arial"/>
          <w:color w:val="000000"/>
          <w:sz w:val="19"/>
          <w:szCs w:val="19"/>
          <w:lang w:val="en-GB"/>
        </w:rPr>
        <w:t xml:space="preserve"> services, 19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Department of Human Services, 1, 7, 14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w:t>
      </w:r>
      <w:proofErr w:type="gramEnd"/>
      <w:r w:rsidRPr="00223AA9">
        <w:rPr>
          <w:rFonts w:cs="Arial"/>
          <w:color w:val="000000"/>
          <w:sz w:val="19"/>
          <w:szCs w:val="19"/>
          <w:lang w:val="en-GB"/>
        </w:rPr>
        <w:t>-referrals,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referrals</w:t>
      </w:r>
      <w:proofErr w:type="gramEnd"/>
      <w:r w:rsidRPr="00223AA9">
        <w:rPr>
          <w:rFonts w:cs="Arial"/>
          <w:color w:val="000000"/>
          <w:sz w:val="19"/>
          <w:szCs w:val="19"/>
          <w:lang w:val="en-GB"/>
        </w:rPr>
        <w:t xml:space="preserve"> to, for suspected fraud,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requests</w:t>
      </w:r>
      <w:proofErr w:type="gramEnd"/>
      <w:r w:rsidRPr="00223AA9">
        <w:rPr>
          <w:rFonts w:cs="Arial"/>
          <w:color w:val="000000"/>
          <w:sz w:val="19"/>
          <w:szCs w:val="19"/>
          <w:lang w:val="en-GB"/>
        </w:rPr>
        <w:t xml:space="preserve"> for review from,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Determining Authority</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draft</w:t>
      </w:r>
      <w:proofErr w:type="gramEnd"/>
      <w:r w:rsidRPr="00223AA9">
        <w:rPr>
          <w:rFonts w:cs="Arial"/>
          <w:color w:val="000000"/>
          <w:sz w:val="19"/>
          <w:szCs w:val="19"/>
          <w:lang w:val="en-GB"/>
        </w:rPr>
        <w:t xml:space="preserve"> and final determinations, 6–7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referra</w:t>
      </w:r>
      <w:r w:rsidR="00223AA9">
        <w:rPr>
          <w:rFonts w:cs="Arial"/>
          <w:color w:val="000000"/>
          <w:sz w:val="19"/>
          <w:szCs w:val="19"/>
          <w:lang w:val="en-GB"/>
        </w:rPr>
        <w:t>ls</w:t>
      </w:r>
      <w:proofErr w:type="gramEnd"/>
      <w:r w:rsidR="00223AA9">
        <w:rPr>
          <w:rFonts w:cs="Arial"/>
          <w:color w:val="000000"/>
          <w:sz w:val="19"/>
          <w:szCs w:val="19"/>
          <w:lang w:val="en-GB"/>
        </w:rPr>
        <w:t xml:space="preserve"> from Professional Services </w:t>
      </w:r>
      <w:r w:rsidRPr="00223AA9">
        <w:rPr>
          <w:rFonts w:cs="Arial"/>
          <w:color w:val="000000"/>
          <w:sz w:val="19"/>
          <w:szCs w:val="19"/>
          <w:lang w:val="en-GB"/>
        </w:rPr>
        <w:t>Review committees,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timeframes</w:t>
      </w:r>
      <w:proofErr w:type="gramEnd"/>
      <w:r w:rsidRPr="00223AA9">
        <w:rPr>
          <w:rFonts w:cs="Arial"/>
          <w:color w:val="000000"/>
          <w:sz w:val="19"/>
          <w:szCs w:val="19"/>
          <w:lang w:val="en-GB"/>
        </w:rPr>
        <w:t xml:space="preserve"> for finalisation,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dieticians</w:t>
      </w:r>
      <w:proofErr w:type="gramEnd"/>
      <w:r w:rsidRPr="00223AA9">
        <w:rPr>
          <w:rFonts w:cs="Arial"/>
          <w:color w:val="000000"/>
          <w:sz w:val="19"/>
          <w:szCs w:val="19"/>
          <w:lang w:val="en-GB"/>
        </w:rPr>
        <w:t>,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Director, 17, 18, 24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introduction</w:t>
      </w:r>
      <w:proofErr w:type="gramEnd"/>
      <w:r w:rsidRPr="00223AA9">
        <w:rPr>
          <w:rFonts w:cs="Arial"/>
          <w:color w:val="000000"/>
          <w:sz w:val="19"/>
          <w:szCs w:val="19"/>
          <w:lang w:val="en-GB"/>
        </w:rPr>
        <w:t xml:space="preserve"> (agency), vii–viii</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pacing w:val="-8"/>
          <w:sz w:val="19"/>
          <w:szCs w:val="19"/>
          <w:lang w:val="en-GB"/>
        </w:rPr>
        <w:t>no</w:t>
      </w:r>
      <w:proofErr w:type="gramEnd"/>
      <w:r w:rsidRPr="00223AA9">
        <w:rPr>
          <w:rFonts w:cs="Arial"/>
          <w:color w:val="000000"/>
          <w:spacing w:val="-8"/>
          <w:sz w:val="19"/>
          <w:szCs w:val="19"/>
          <w:lang w:val="en-GB"/>
        </w:rPr>
        <w:t xml:space="preserve"> further action (section 91) decisions, 4, 5,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referrals</w:t>
      </w:r>
      <w:proofErr w:type="gramEnd"/>
      <w:r w:rsidRPr="00223AA9">
        <w:rPr>
          <w:rFonts w:cs="Arial"/>
          <w:color w:val="000000"/>
          <w:sz w:val="19"/>
          <w:szCs w:val="19"/>
          <w:lang w:val="en-GB"/>
        </w:rPr>
        <w:t xml:space="preserve"> to</w:t>
      </w:r>
      <w:r w:rsidR="00223AA9">
        <w:rPr>
          <w:rFonts w:cs="Arial"/>
          <w:color w:val="000000"/>
          <w:sz w:val="19"/>
          <w:szCs w:val="19"/>
          <w:lang w:val="en-GB"/>
        </w:rPr>
        <w:t xml:space="preserve"> Professional Services Review </w:t>
      </w:r>
      <w:r w:rsidRPr="00223AA9">
        <w:rPr>
          <w:rFonts w:cs="Arial"/>
          <w:color w:val="000000"/>
          <w:sz w:val="19"/>
          <w:szCs w:val="19"/>
          <w:lang w:val="en-GB"/>
        </w:rPr>
        <w:t>committees, 4,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disability</w:t>
      </w:r>
      <w:proofErr w:type="gramEnd"/>
      <w:r w:rsidRPr="00223AA9">
        <w:rPr>
          <w:rFonts w:cs="Arial"/>
          <w:color w:val="000000"/>
          <w:sz w:val="19"/>
          <w:szCs w:val="19"/>
          <w:lang w:val="en-GB"/>
        </w:rPr>
        <w:t xml:space="preserve"> reporting, 26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dismissed</w:t>
      </w:r>
      <w:proofErr w:type="gramEnd"/>
      <w:r w:rsidRPr="00223AA9">
        <w:rPr>
          <w:rFonts w:cs="Arial"/>
          <w:color w:val="000000"/>
          <w:sz w:val="19"/>
          <w:szCs w:val="19"/>
          <w:lang w:val="en-GB"/>
        </w:rPr>
        <w:t xml:space="preserve"> cases (no further action) </w:t>
      </w:r>
      <w:r w:rsidRPr="00223AA9">
        <w:rPr>
          <w:rFonts w:cs="Arial"/>
          <w:i/>
          <w:iCs/>
          <w:color w:val="000000"/>
          <w:sz w:val="19"/>
          <w:szCs w:val="19"/>
          <w:lang w:val="en-GB"/>
        </w:rPr>
        <w:t>see</w:t>
      </w:r>
      <w:r w:rsidR="00223AA9">
        <w:rPr>
          <w:rFonts w:cs="Arial"/>
          <w:color w:val="000000"/>
          <w:sz w:val="19"/>
          <w:szCs w:val="19"/>
          <w:lang w:val="en-GB"/>
        </w:rPr>
        <w:t xml:space="preserve"> no </w:t>
      </w:r>
      <w:r w:rsidRPr="00223AA9">
        <w:rPr>
          <w:rFonts w:cs="Arial"/>
          <w:color w:val="000000"/>
          <w:sz w:val="19"/>
          <w:szCs w:val="19"/>
          <w:lang w:val="en-GB"/>
        </w:rPr>
        <w:t>further action (section 91) decisions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disqualifications</w:t>
      </w:r>
      <w:proofErr w:type="gramEnd"/>
      <w:r w:rsidRPr="00223AA9">
        <w:rPr>
          <w:rFonts w:cs="Arial"/>
          <w:color w:val="000000"/>
          <w:sz w:val="19"/>
          <w:szCs w:val="19"/>
          <w:lang w:val="en-GB"/>
        </w:rPr>
        <w:t>, partial and full, 5,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diversity</w:t>
      </w:r>
      <w:proofErr w:type="gramEnd"/>
      <w:r w:rsidRPr="00223AA9">
        <w:rPr>
          <w:rFonts w:cs="Arial"/>
          <w:color w:val="000000"/>
          <w:sz w:val="19"/>
          <w:szCs w:val="19"/>
          <w:lang w:val="en-GB"/>
        </w:rPr>
        <w:t>, staff,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doctors</w:t>
      </w:r>
      <w:proofErr w:type="gramEnd"/>
      <w:r w:rsidRPr="00223AA9">
        <w:rPr>
          <w:rFonts w:cs="Arial"/>
          <w:color w:val="000000"/>
          <w:sz w:val="19"/>
          <w:szCs w:val="19"/>
          <w:lang w:val="en-GB"/>
        </w:rPr>
        <w:t xml:space="preserve"> see health practitioners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draft</w:t>
      </w:r>
      <w:proofErr w:type="gramEnd"/>
      <w:r w:rsidRPr="00223AA9">
        <w:rPr>
          <w:rFonts w:cs="Arial"/>
          <w:color w:val="000000"/>
          <w:sz w:val="19"/>
          <w:szCs w:val="19"/>
          <w:lang w:val="en-GB"/>
        </w:rPr>
        <w:t xml:space="preserve"> determinations, 4, 6–7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E</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ecologically</w:t>
      </w:r>
      <w:proofErr w:type="gramEnd"/>
      <w:r w:rsidRPr="00223AA9">
        <w:rPr>
          <w:rFonts w:cs="Arial"/>
          <w:color w:val="000000"/>
          <w:sz w:val="19"/>
          <w:szCs w:val="19"/>
          <w:lang w:val="en-GB"/>
        </w:rPr>
        <w:t xml:space="preserve"> sustainable development, 29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pacing w:val="-2"/>
          <w:sz w:val="19"/>
          <w:szCs w:val="19"/>
          <w:lang w:val="en-GB"/>
        </w:rPr>
        <w:t>educational</w:t>
      </w:r>
      <w:proofErr w:type="gramEnd"/>
      <w:r w:rsidRPr="00223AA9">
        <w:rPr>
          <w:rFonts w:cs="Arial"/>
          <w:color w:val="000000"/>
          <w:spacing w:val="-2"/>
          <w:sz w:val="19"/>
          <w:szCs w:val="19"/>
          <w:lang w:val="en-GB"/>
        </w:rPr>
        <w:t xml:space="preserve"> standards, health practitioners, 15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 xml:space="preserve">80/20 </w:t>
      </w:r>
      <w:proofErr w:type="gramStart"/>
      <w:r w:rsidRPr="00223AA9">
        <w:rPr>
          <w:rFonts w:cs="Arial"/>
          <w:color w:val="000000"/>
          <w:sz w:val="19"/>
          <w:szCs w:val="19"/>
          <w:lang w:val="en-GB"/>
        </w:rPr>
        <w:t>rule</w:t>
      </w:r>
      <w:proofErr w:type="gramEnd"/>
      <w:r w:rsidRPr="00223AA9">
        <w:rPr>
          <w:rFonts w:cs="Arial"/>
          <w:color w:val="000000"/>
          <w:sz w:val="19"/>
          <w:szCs w:val="19"/>
          <w:lang w:val="en-GB"/>
        </w:rPr>
        <w:t>, 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employees</w:t>
      </w:r>
      <w:proofErr w:type="gramEnd"/>
      <w:r w:rsidRPr="00223AA9">
        <w:rPr>
          <w:rFonts w:cs="Arial"/>
          <w:color w:val="000000"/>
          <w:sz w:val="19"/>
          <w:szCs w:val="19"/>
          <w:lang w:val="en-GB"/>
        </w:rPr>
        <w:t xml:space="preserve"> </w:t>
      </w:r>
      <w:r w:rsidRPr="00223AA9">
        <w:rPr>
          <w:rFonts w:cs="Arial"/>
          <w:i/>
          <w:iCs/>
          <w:color w:val="000000"/>
          <w:sz w:val="19"/>
          <w:szCs w:val="19"/>
          <w:lang w:val="en-GB"/>
        </w:rPr>
        <w:t>see</w:t>
      </w:r>
      <w:r w:rsidRPr="00223AA9">
        <w:rPr>
          <w:rFonts w:cs="Arial"/>
          <w:color w:val="000000"/>
          <w:sz w:val="19"/>
          <w:szCs w:val="19"/>
          <w:lang w:val="en-GB"/>
        </w:rPr>
        <w:t xml:space="preserve"> staff</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Enterprise Agreement 2012–14, 24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environmental</w:t>
      </w:r>
      <w:proofErr w:type="gramEnd"/>
      <w:r w:rsidRPr="00223AA9">
        <w:rPr>
          <w:rFonts w:cs="Arial"/>
          <w:color w:val="000000"/>
          <w:sz w:val="19"/>
          <w:szCs w:val="19"/>
          <w:lang w:val="en-GB"/>
        </w:rPr>
        <w:t xml:space="preserve"> performance, 29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equity</w:t>
      </w:r>
      <w:proofErr w:type="gramEnd"/>
      <w:r w:rsidRPr="00223AA9">
        <w:rPr>
          <w:rFonts w:cs="Arial"/>
          <w:color w:val="000000"/>
          <w:sz w:val="19"/>
          <w:szCs w:val="19"/>
          <w:lang w:val="en-GB"/>
        </w:rPr>
        <w:t>, 38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ethical</w:t>
      </w:r>
      <w:proofErr w:type="gramEnd"/>
      <w:r w:rsidRPr="00223AA9">
        <w:rPr>
          <w:rFonts w:cs="Arial"/>
          <w:color w:val="000000"/>
          <w:sz w:val="19"/>
          <w:szCs w:val="19"/>
          <w:lang w:val="en-GB"/>
        </w:rPr>
        <w:t xml:space="preserve"> standards, 21–22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Executive Management Team, 19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Executive Officer, 18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exempt</w:t>
      </w:r>
      <w:proofErr w:type="gramEnd"/>
      <w:r w:rsidRPr="00223AA9">
        <w:rPr>
          <w:rFonts w:cs="Arial"/>
          <w:color w:val="000000"/>
          <w:sz w:val="19"/>
          <w:szCs w:val="19"/>
          <w:lang w:val="en-GB"/>
        </w:rPr>
        <w:t xml:space="preserve"> contracts, 28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expenses</w:t>
      </w:r>
      <w:proofErr w:type="gramEnd"/>
      <w:r w:rsidRPr="00223AA9">
        <w:rPr>
          <w:rFonts w:cs="Arial"/>
          <w:color w:val="000000"/>
          <w:sz w:val="19"/>
          <w:szCs w:val="19"/>
          <w:lang w:val="en-GB"/>
        </w:rPr>
        <w:t>, 27, 37, 55–56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external</w:t>
      </w:r>
      <w:proofErr w:type="gramEnd"/>
      <w:r w:rsidRPr="00223AA9">
        <w:rPr>
          <w:rFonts w:cs="Arial"/>
          <w:color w:val="000000"/>
          <w:sz w:val="19"/>
          <w:szCs w:val="19"/>
          <w:lang w:val="en-GB"/>
        </w:rPr>
        <w:t xml:space="preserve"> review,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external</w:t>
      </w:r>
      <w:proofErr w:type="gramEnd"/>
      <w:r w:rsidRPr="00223AA9">
        <w:rPr>
          <w:rFonts w:cs="Arial"/>
          <w:color w:val="000000"/>
          <w:sz w:val="19"/>
          <w:szCs w:val="19"/>
          <w:lang w:val="en-GB"/>
        </w:rPr>
        <w:t xml:space="preserve"> scrutiny, 21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F</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Federal Court matters, 4, 7, 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female</w:t>
      </w:r>
      <w:proofErr w:type="gramEnd"/>
      <w:r w:rsidRPr="00223AA9">
        <w:rPr>
          <w:rFonts w:cs="Arial"/>
          <w:color w:val="000000"/>
          <w:sz w:val="19"/>
          <w:szCs w:val="19"/>
          <w:lang w:val="en-GB"/>
        </w:rPr>
        <w:t xml:space="preserve"> staff,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final</w:t>
      </w:r>
      <w:proofErr w:type="gramEnd"/>
      <w:r w:rsidRPr="00223AA9">
        <w:rPr>
          <w:rFonts w:cs="Arial"/>
          <w:color w:val="000000"/>
          <w:sz w:val="19"/>
          <w:szCs w:val="19"/>
          <w:lang w:val="en-GB"/>
        </w:rPr>
        <w:t xml:space="preserve"> determinations, 4, 6–7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finalised</w:t>
      </w:r>
      <w:proofErr w:type="gramEnd"/>
      <w:r w:rsidRPr="00223AA9">
        <w:rPr>
          <w:rFonts w:cs="Arial"/>
          <w:color w:val="000000"/>
          <w:sz w:val="19"/>
          <w:szCs w:val="19"/>
          <w:lang w:val="en-GB"/>
        </w:rPr>
        <w:t xml:space="preserve"> matters,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committee</w:t>
      </w:r>
      <w:proofErr w:type="gramEnd"/>
      <w:r w:rsidRPr="00223AA9">
        <w:rPr>
          <w:rFonts w:cs="Arial"/>
          <w:color w:val="000000"/>
          <w:sz w:val="19"/>
          <w:szCs w:val="19"/>
          <w:lang w:val="en-GB"/>
        </w:rPr>
        <w:t xml:space="preserve"> hearings and reports,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determinations</w:t>
      </w:r>
      <w:proofErr w:type="gramEnd"/>
      <w:r w:rsidRPr="00223AA9">
        <w:rPr>
          <w:rFonts w:cs="Arial"/>
          <w:color w:val="000000"/>
          <w:sz w:val="19"/>
          <w:szCs w:val="19"/>
          <w:lang w:val="en-GB"/>
        </w:rPr>
        <w:t>,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negotiated</w:t>
      </w:r>
      <w:proofErr w:type="gramEnd"/>
      <w:r w:rsidRPr="00223AA9">
        <w:rPr>
          <w:rFonts w:cs="Arial"/>
          <w:color w:val="000000"/>
          <w:sz w:val="19"/>
          <w:szCs w:val="19"/>
          <w:lang w:val="en-GB"/>
        </w:rPr>
        <w:t xml:space="preserve"> (section 92) agreements, 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no</w:t>
      </w:r>
      <w:proofErr w:type="gramEnd"/>
      <w:r w:rsidRPr="00223AA9">
        <w:rPr>
          <w:rFonts w:cs="Arial"/>
          <w:color w:val="000000"/>
          <w:sz w:val="19"/>
          <w:szCs w:val="19"/>
          <w:lang w:val="en-GB"/>
        </w:rPr>
        <w:t xml:space="preserve"> further action (section 91) decisions, 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w:t>
      </w:r>
      <w:proofErr w:type="gramEnd"/>
      <w:r w:rsidRPr="00223AA9">
        <w:rPr>
          <w:rFonts w:cs="Arial"/>
          <w:color w:val="000000"/>
          <w:sz w:val="19"/>
          <w:szCs w:val="19"/>
          <w:lang w:val="en-GB"/>
        </w:rPr>
        <w:t>-referral,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timeframes</w:t>
      </w:r>
      <w:proofErr w:type="gramEnd"/>
      <w:r w:rsidRPr="00223AA9">
        <w:rPr>
          <w:rFonts w:cs="Arial"/>
          <w:color w:val="000000"/>
          <w:sz w:val="19"/>
          <w:szCs w:val="19"/>
          <w:lang w:val="en-GB"/>
        </w:rPr>
        <w:t xml:space="preserve"> for decisions,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financial</w:t>
      </w:r>
      <w:proofErr w:type="gramEnd"/>
      <w:r w:rsidRPr="00223AA9">
        <w:rPr>
          <w:rFonts w:cs="Arial"/>
          <w:color w:val="000000"/>
          <w:sz w:val="19"/>
          <w:szCs w:val="19"/>
          <w:lang w:val="en-GB"/>
        </w:rPr>
        <w:t xml:space="preserve"> management, 27–29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financial</w:t>
      </w:r>
      <w:proofErr w:type="gramEnd"/>
      <w:r w:rsidRPr="00223AA9">
        <w:rPr>
          <w:rFonts w:cs="Arial"/>
          <w:color w:val="000000"/>
          <w:sz w:val="19"/>
          <w:szCs w:val="19"/>
          <w:lang w:val="en-GB"/>
        </w:rPr>
        <w:t xml:space="preserve"> statements, 33–85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focus</w:t>
      </w:r>
      <w:proofErr w:type="gramEnd"/>
      <w:r w:rsidRPr="00223AA9">
        <w:rPr>
          <w:rFonts w:cs="Arial"/>
          <w:color w:val="000000"/>
          <w:sz w:val="19"/>
          <w:szCs w:val="19"/>
          <w:lang w:val="en-GB"/>
        </w:rPr>
        <w:t xml:space="preserve"> groups </w:t>
      </w:r>
      <w:r w:rsidRPr="00223AA9">
        <w:rPr>
          <w:rFonts w:cs="Arial"/>
          <w:i/>
          <w:iCs/>
          <w:color w:val="000000"/>
          <w:sz w:val="19"/>
          <w:szCs w:val="19"/>
          <w:lang w:val="en-GB"/>
        </w:rPr>
        <w:t>see</w:t>
      </w:r>
      <w:r w:rsidRPr="00223AA9">
        <w:rPr>
          <w:rFonts w:cs="Arial"/>
          <w:color w:val="000000"/>
          <w:sz w:val="19"/>
          <w:szCs w:val="19"/>
          <w:lang w:val="en-GB"/>
        </w:rPr>
        <w:t xml:space="preserve"> workshops and focus groups, staff</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fraud</w:t>
      </w:r>
      <w:proofErr w:type="gramEnd"/>
      <w:r w:rsidRPr="00223AA9">
        <w:rPr>
          <w:rFonts w:cs="Arial"/>
          <w:color w:val="000000"/>
          <w:sz w:val="19"/>
          <w:szCs w:val="19"/>
          <w:lang w:val="en-GB"/>
        </w:rPr>
        <w:t xml:space="preserve"> control, 20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fraud</w:t>
      </w:r>
      <w:proofErr w:type="gramEnd"/>
      <w:r w:rsidRPr="00223AA9">
        <w:rPr>
          <w:rFonts w:cs="Arial"/>
          <w:color w:val="000000"/>
          <w:sz w:val="19"/>
          <w:szCs w:val="19"/>
          <w:lang w:val="en-GB"/>
        </w:rPr>
        <w:t>, suspected,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freedom</w:t>
      </w:r>
      <w:proofErr w:type="gramEnd"/>
      <w:r w:rsidRPr="00223AA9">
        <w:rPr>
          <w:rFonts w:cs="Arial"/>
          <w:color w:val="000000"/>
          <w:sz w:val="19"/>
          <w:szCs w:val="19"/>
          <w:lang w:val="en-GB"/>
        </w:rPr>
        <w:t xml:space="preserve"> of information, 86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full</w:t>
      </w:r>
      <w:proofErr w:type="gramEnd"/>
      <w:r w:rsidRPr="00223AA9">
        <w:rPr>
          <w:rFonts w:cs="Arial"/>
          <w:color w:val="000000"/>
          <w:sz w:val="19"/>
          <w:szCs w:val="19"/>
          <w:lang w:val="en-GB"/>
        </w:rPr>
        <w:t>-time staff,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functions</w:t>
      </w:r>
      <w:proofErr w:type="gramEnd"/>
      <w:r w:rsidRPr="00223AA9">
        <w:rPr>
          <w:rFonts w:cs="Arial"/>
          <w:color w:val="000000"/>
          <w:sz w:val="19"/>
          <w:szCs w:val="19"/>
          <w:lang w:val="en-GB"/>
        </w:rPr>
        <w:t>, 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future</w:t>
      </w:r>
      <w:proofErr w:type="gramEnd"/>
      <w:r w:rsidRPr="00223AA9">
        <w:rPr>
          <w:rFonts w:cs="Arial"/>
          <w:color w:val="000000"/>
          <w:sz w:val="19"/>
          <w:szCs w:val="19"/>
          <w:lang w:val="en-GB"/>
        </w:rPr>
        <w:t xml:space="preserve"> directions, 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b/>
          <w:bCs/>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G</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gender</w:t>
      </w:r>
      <w:proofErr w:type="gramEnd"/>
      <w:r w:rsidRPr="00223AA9">
        <w:rPr>
          <w:rFonts w:cs="Arial"/>
          <w:color w:val="000000"/>
          <w:sz w:val="19"/>
          <w:szCs w:val="19"/>
          <w:lang w:val="en-GB"/>
        </w:rPr>
        <w:t xml:space="preserve"> of staff,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glossary</w:t>
      </w:r>
      <w:proofErr w:type="gramEnd"/>
      <w:r w:rsidRPr="00223AA9">
        <w:rPr>
          <w:rFonts w:cs="Arial"/>
          <w:color w:val="000000"/>
          <w:sz w:val="19"/>
          <w:szCs w:val="19"/>
          <w:lang w:val="en-GB"/>
        </w:rPr>
        <w:t>, 87–88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governance</w:t>
      </w:r>
      <w:proofErr w:type="gramEnd"/>
      <w:r w:rsidRPr="00223AA9">
        <w:rPr>
          <w:rFonts w:cs="Arial"/>
          <w:color w:val="000000"/>
          <w:sz w:val="19"/>
          <w:szCs w:val="19"/>
          <w:lang w:val="en-GB"/>
        </w:rPr>
        <w:t xml:space="preserve"> </w:t>
      </w:r>
      <w:r w:rsidRPr="00223AA9">
        <w:rPr>
          <w:rFonts w:cs="Arial"/>
          <w:i/>
          <w:iCs/>
          <w:color w:val="000000"/>
          <w:sz w:val="19"/>
          <w:szCs w:val="19"/>
          <w:lang w:val="en-GB"/>
        </w:rPr>
        <w:t>see</w:t>
      </w:r>
      <w:r w:rsidRPr="00223AA9">
        <w:rPr>
          <w:rFonts w:cs="Arial"/>
          <w:color w:val="000000"/>
          <w:sz w:val="19"/>
          <w:szCs w:val="19"/>
          <w:lang w:val="en-GB"/>
        </w:rPr>
        <w:t xml:space="preserve"> corporate governance</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GP management plans, 10–11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grants</w:t>
      </w:r>
      <w:proofErr w:type="gramEnd"/>
      <w:r w:rsidRPr="00223AA9">
        <w:rPr>
          <w:rFonts w:cs="Arial"/>
          <w:color w:val="000000"/>
          <w:sz w:val="19"/>
          <w:szCs w:val="19"/>
          <w:lang w:val="en-GB"/>
        </w:rPr>
        <w:t xml:space="preserve"> programs, 28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H</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i/>
          <w:iCs/>
          <w:color w:val="000000"/>
          <w:sz w:val="19"/>
          <w:szCs w:val="19"/>
          <w:lang w:val="en-GB"/>
        </w:rPr>
        <w:t>Health Insurance Act 1973</w:t>
      </w:r>
      <w:r w:rsidRPr="00223AA9">
        <w:rPr>
          <w:rFonts w:cs="Arial"/>
          <w:color w:val="000000"/>
          <w:sz w:val="19"/>
          <w:szCs w:val="19"/>
          <w:lang w:val="en-GB"/>
        </w:rPr>
        <w:t>, vii</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pacing w:val="-4"/>
          <w:sz w:val="19"/>
          <w:szCs w:val="19"/>
          <w:lang w:val="en-GB"/>
        </w:rPr>
        <w:t>Health Practitioner Regulation National Law, 15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health</w:t>
      </w:r>
      <w:proofErr w:type="gramEnd"/>
      <w:r w:rsidRPr="00223AA9">
        <w:rPr>
          <w:rFonts w:cs="Arial"/>
          <w:color w:val="000000"/>
          <w:sz w:val="19"/>
          <w:szCs w:val="19"/>
          <w:lang w:val="en-GB"/>
        </w:rPr>
        <w:t xml:space="preserve"> practitioners,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t xml:space="preserve">80/20 </w:t>
      </w:r>
      <w:proofErr w:type="gramStart"/>
      <w:r w:rsidRPr="00223AA9">
        <w:rPr>
          <w:rFonts w:cs="Arial"/>
          <w:color w:val="000000"/>
          <w:sz w:val="19"/>
          <w:szCs w:val="19"/>
          <w:lang w:val="en-GB"/>
        </w:rPr>
        <w:t>rule</w:t>
      </w:r>
      <w:proofErr w:type="gramEnd"/>
      <w:r w:rsidRPr="00223AA9">
        <w:rPr>
          <w:rFonts w:cs="Arial"/>
          <w:color w:val="000000"/>
          <w:sz w:val="19"/>
          <w:szCs w:val="19"/>
          <w:lang w:val="en-GB"/>
        </w:rPr>
        <w:t>, 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chronic</w:t>
      </w:r>
      <w:proofErr w:type="gramEnd"/>
      <w:r w:rsidRPr="00223AA9">
        <w:rPr>
          <w:rFonts w:cs="Arial"/>
          <w:color w:val="000000"/>
          <w:sz w:val="19"/>
          <w:szCs w:val="19"/>
          <w:lang w:val="en-GB"/>
        </w:rPr>
        <w:t xml:space="preserve"> disease management items, 9–11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clinical</w:t>
      </w:r>
      <w:proofErr w:type="gramEnd"/>
      <w:r w:rsidRPr="00223AA9">
        <w:rPr>
          <w:rFonts w:cs="Arial"/>
          <w:color w:val="000000"/>
          <w:sz w:val="19"/>
          <w:szCs w:val="19"/>
          <w:lang w:val="en-GB"/>
        </w:rPr>
        <w:t xml:space="preserve"> notes, provision of,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continuing</w:t>
      </w:r>
      <w:proofErr w:type="gramEnd"/>
      <w:r w:rsidRPr="00223AA9">
        <w:rPr>
          <w:rFonts w:cs="Arial"/>
          <w:color w:val="000000"/>
          <w:sz w:val="19"/>
          <w:szCs w:val="19"/>
          <w:lang w:val="en-GB"/>
        </w:rPr>
        <w:t xml:space="preserve"> education requirements, 15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educational</w:t>
      </w:r>
      <w:proofErr w:type="gramEnd"/>
      <w:r w:rsidRPr="00223AA9">
        <w:rPr>
          <w:rFonts w:cs="Arial"/>
          <w:color w:val="000000"/>
          <w:sz w:val="19"/>
          <w:szCs w:val="19"/>
          <w:lang w:val="en-GB"/>
        </w:rPr>
        <w:t xml:space="preserve"> standards for, 15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health</w:t>
      </w:r>
      <w:proofErr w:type="gramEnd"/>
      <w:r w:rsidRPr="00223AA9">
        <w:rPr>
          <w:rFonts w:cs="Arial"/>
          <w:color w:val="000000"/>
          <w:sz w:val="19"/>
          <w:szCs w:val="19"/>
          <w:lang w:val="en-GB"/>
        </w:rPr>
        <w:t xml:space="preserve"> care resources, use of, 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investigations</w:t>
      </w:r>
      <w:proofErr w:type="gramEnd"/>
      <w:r w:rsidRPr="00223AA9">
        <w:rPr>
          <w:rFonts w:cs="Arial"/>
          <w:color w:val="000000"/>
          <w:sz w:val="19"/>
          <w:szCs w:val="19"/>
          <w:lang w:val="en-GB"/>
        </w:rPr>
        <w:t xml:space="preserve"> of, 3–7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servicing</w:t>
      </w:r>
      <w:proofErr w:type="gramEnd"/>
      <w:r w:rsidRPr="00223AA9">
        <w:rPr>
          <w:rFonts w:cs="Arial"/>
          <w:color w:val="000000"/>
          <w:sz w:val="19"/>
          <w:szCs w:val="19"/>
          <w:lang w:val="en-GB"/>
        </w:rPr>
        <w:t xml:space="preserve"> patterns, 11–12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i/>
          <w:iCs/>
          <w:color w:val="000000"/>
          <w:sz w:val="19"/>
          <w:szCs w:val="19"/>
          <w:lang w:val="en-GB"/>
        </w:rPr>
        <w:tab/>
      </w:r>
      <w:proofErr w:type="gramStart"/>
      <w:r w:rsidRPr="00223AA9">
        <w:rPr>
          <w:rFonts w:cs="Arial"/>
          <w:i/>
          <w:iCs/>
          <w:color w:val="000000"/>
          <w:sz w:val="19"/>
          <w:szCs w:val="19"/>
          <w:lang w:val="en-GB"/>
        </w:rPr>
        <w:t>see</w:t>
      </w:r>
      <w:proofErr w:type="gramEnd"/>
      <w:r w:rsidRPr="00223AA9">
        <w:rPr>
          <w:rFonts w:cs="Arial"/>
          <w:color w:val="000000"/>
          <w:sz w:val="19"/>
          <w:szCs w:val="19"/>
          <w:lang w:val="en-GB"/>
        </w:rPr>
        <w:t xml:space="preserve"> </w:t>
      </w:r>
      <w:r w:rsidRPr="00223AA9">
        <w:rPr>
          <w:rFonts w:cs="Arial"/>
          <w:i/>
          <w:iCs/>
          <w:color w:val="000000"/>
          <w:sz w:val="19"/>
          <w:szCs w:val="19"/>
          <w:lang w:val="en-GB"/>
        </w:rPr>
        <w:t>also</w:t>
      </w:r>
      <w:r w:rsidRPr="00223AA9">
        <w:rPr>
          <w:rFonts w:cs="Arial"/>
          <w:color w:val="000000"/>
          <w:sz w:val="19"/>
          <w:szCs w:val="19"/>
          <w:lang w:val="en-GB"/>
        </w:rPr>
        <w:t xml:space="preserve"> allied health practitioners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human</w:t>
      </w:r>
      <w:proofErr w:type="gramEnd"/>
      <w:r w:rsidRPr="00223AA9">
        <w:rPr>
          <w:rFonts w:cs="Arial"/>
          <w:color w:val="000000"/>
          <w:sz w:val="19"/>
          <w:szCs w:val="19"/>
          <w:lang w:val="en-GB"/>
        </w:rPr>
        <w:t xml:space="preserve"> resources </w:t>
      </w:r>
      <w:r w:rsidRPr="00223AA9">
        <w:rPr>
          <w:rFonts w:cs="Arial"/>
          <w:i/>
          <w:iCs/>
          <w:color w:val="000000"/>
          <w:sz w:val="19"/>
          <w:szCs w:val="19"/>
          <w:lang w:val="en-GB"/>
        </w:rPr>
        <w:t>see</w:t>
      </w:r>
      <w:r w:rsidRPr="00223AA9">
        <w:rPr>
          <w:rFonts w:cs="Arial"/>
          <w:color w:val="000000"/>
          <w:sz w:val="19"/>
          <w:szCs w:val="19"/>
          <w:lang w:val="en-GB"/>
        </w:rPr>
        <w:t xml:space="preserve"> staff</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I</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inappropriate</w:t>
      </w:r>
      <w:proofErr w:type="gramEnd"/>
      <w:r w:rsidRPr="00223AA9">
        <w:rPr>
          <w:rFonts w:cs="Arial"/>
          <w:color w:val="000000"/>
          <w:sz w:val="19"/>
          <w:szCs w:val="19"/>
          <w:lang w:val="en-GB"/>
        </w:rPr>
        <w:t xml:space="preserve"> practice, 3, 4–14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and</w:t>
      </w:r>
      <w:proofErr w:type="gramEnd"/>
      <w:r w:rsidRPr="00223AA9">
        <w:rPr>
          <w:rFonts w:cs="Arial"/>
          <w:color w:val="000000"/>
          <w:sz w:val="19"/>
          <w:szCs w:val="19"/>
          <w:lang w:val="en-GB"/>
        </w:rPr>
        <w:t xml:space="preserve"> 80/20 rule, 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cases</w:t>
      </w:r>
      <w:proofErr w:type="gramEnd"/>
      <w:r w:rsidRPr="00223AA9">
        <w:rPr>
          <w:rFonts w:cs="Arial"/>
          <w:color w:val="000000"/>
          <w:sz w:val="19"/>
          <w:szCs w:val="19"/>
          <w:lang w:val="en-GB"/>
        </w:rPr>
        <w:t xml:space="preserve"> on hand,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pacing w:val="-6"/>
          <w:sz w:val="19"/>
          <w:szCs w:val="19"/>
          <w:lang w:val="en-GB"/>
        </w:rPr>
        <w:t>negotiated</w:t>
      </w:r>
      <w:proofErr w:type="gramEnd"/>
      <w:r w:rsidRPr="00223AA9">
        <w:rPr>
          <w:rFonts w:cs="Arial"/>
          <w:color w:val="000000"/>
          <w:spacing w:val="-6"/>
          <w:sz w:val="19"/>
          <w:szCs w:val="19"/>
          <w:lang w:val="en-GB"/>
        </w:rPr>
        <w:t xml:space="preserve"> (section 92) agreements, vii, 5, 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t>Professio</w:t>
      </w:r>
      <w:r w:rsidR="00223AA9">
        <w:rPr>
          <w:rFonts w:cs="Arial"/>
          <w:color w:val="000000"/>
          <w:sz w:val="19"/>
          <w:szCs w:val="19"/>
          <w:lang w:val="en-GB"/>
        </w:rPr>
        <w:t xml:space="preserve">nal Services Review committee </w:t>
      </w:r>
      <w:r w:rsidRPr="00223AA9">
        <w:rPr>
          <w:rFonts w:cs="Arial"/>
          <w:color w:val="000000"/>
          <w:sz w:val="19"/>
          <w:szCs w:val="19"/>
          <w:lang w:val="en-GB"/>
        </w:rPr>
        <w:t>investigations of,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statistics</w:t>
      </w:r>
      <w:proofErr w:type="gramEnd"/>
      <w:r w:rsidRPr="00223AA9">
        <w:rPr>
          <w:rFonts w:cs="Arial"/>
          <w:color w:val="000000"/>
          <w:sz w:val="19"/>
          <w:szCs w:val="19"/>
          <w:lang w:val="en-GB"/>
        </w:rPr>
        <w:t>,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income</w:t>
      </w:r>
      <w:proofErr w:type="gramEnd"/>
      <w:r w:rsidRPr="00223AA9">
        <w:rPr>
          <w:rFonts w:cs="Arial"/>
          <w:color w:val="000000"/>
          <w:sz w:val="19"/>
          <w:szCs w:val="19"/>
          <w:lang w:val="en-GB"/>
        </w:rPr>
        <w:t>, 37, 57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influenza</w:t>
      </w:r>
      <w:proofErr w:type="gramEnd"/>
      <w:r w:rsidRPr="00223AA9">
        <w:rPr>
          <w:rFonts w:cs="Arial"/>
          <w:color w:val="000000"/>
          <w:sz w:val="19"/>
          <w:szCs w:val="19"/>
          <w:lang w:val="en-GB"/>
        </w:rPr>
        <w:t xml:space="preserve"> vaccinations, staff, 26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Information Publication Scheme, 86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information</w:t>
      </w:r>
      <w:proofErr w:type="gramEnd"/>
      <w:r w:rsidRPr="00223AA9">
        <w:rPr>
          <w:rFonts w:cs="Arial"/>
          <w:color w:val="000000"/>
          <w:sz w:val="19"/>
          <w:szCs w:val="19"/>
          <w:lang w:val="en-GB"/>
        </w:rPr>
        <w:t xml:space="preserve"> technology </w:t>
      </w:r>
      <w:r w:rsidRPr="00223AA9">
        <w:rPr>
          <w:rFonts w:cs="Arial"/>
          <w:i/>
          <w:iCs/>
          <w:color w:val="000000"/>
          <w:sz w:val="19"/>
          <w:szCs w:val="19"/>
          <w:lang w:val="en-GB"/>
        </w:rPr>
        <w:t>see</w:t>
      </w:r>
      <w:r w:rsidRPr="00223AA9">
        <w:rPr>
          <w:rFonts w:cs="Arial"/>
          <w:color w:val="000000"/>
          <w:sz w:val="19"/>
          <w:szCs w:val="19"/>
          <w:lang w:val="en-GB"/>
        </w:rPr>
        <w:t xml:space="preserve"> website</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infrared</w:t>
      </w:r>
      <w:proofErr w:type="gramEnd"/>
      <w:r w:rsidRPr="00223AA9">
        <w:rPr>
          <w:rFonts w:cs="Arial"/>
          <w:color w:val="000000"/>
          <w:sz w:val="19"/>
          <w:szCs w:val="19"/>
          <w:lang w:val="en-GB"/>
        </w:rPr>
        <w:t xml:space="preserve"> heat therapy and saunas, 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internal</w:t>
      </w:r>
      <w:proofErr w:type="gramEnd"/>
      <w:r w:rsidRPr="00223AA9">
        <w:rPr>
          <w:rFonts w:cs="Arial"/>
          <w:color w:val="000000"/>
          <w:sz w:val="19"/>
          <w:szCs w:val="19"/>
          <w:lang w:val="en-GB"/>
        </w:rPr>
        <w:t xml:space="preserve"> audit, 20, 21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J</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judicial</w:t>
      </w:r>
      <w:proofErr w:type="gramEnd"/>
      <w:r w:rsidRPr="00223AA9">
        <w:rPr>
          <w:rFonts w:cs="Arial"/>
          <w:color w:val="000000"/>
          <w:sz w:val="19"/>
          <w:szCs w:val="19"/>
          <w:lang w:val="en-GB"/>
        </w:rPr>
        <w:t xml:space="preserve"> decisions and review, 7, 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K</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key</w:t>
      </w:r>
      <w:proofErr w:type="gramEnd"/>
      <w:r w:rsidRPr="00223AA9">
        <w:rPr>
          <w:rFonts w:cs="Arial"/>
          <w:color w:val="000000"/>
          <w:sz w:val="19"/>
          <w:szCs w:val="19"/>
          <w:lang w:val="en-GB"/>
        </w:rPr>
        <w:t xml:space="preserve"> performance indicators, 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L</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laser</w:t>
      </w:r>
      <w:proofErr w:type="gramEnd"/>
      <w:r w:rsidRPr="00223AA9">
        <w:rPr>
          <w:rFonts w:cs="Arial"/>
          <w:color w:val="000000"/>
          <w:sz w:val="19"/>
          <w:szCs w:val="19"/>
          <w:lang w:val="en-GB"/>
        </w:rPr>
        <w:t xml:space="preserve"> treatment, low-level, 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legal</w:t>
      </w:r>
      <w:proofErr w:type="gramEnd"/>
      <w:r w:rsidRPr="00223AA9">
        <w:rPr>
          <w:rFonts w:cs="Arial"/>
          <w:color w:val="000000"/>
          <w:sz w:val="19"/>
          <w:szCs w:val="19"/>
          <w:lang w:val="en-GB"/>
        </w:rPr>
        <w:t xml:space="preserve"> cases, 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legislative</w:t>
      </w:r>
      <w:proofErr w:type="gramEnd"/>
      <w:r w:rsidRPr="00223AA9">
        <w:rPr>
          <w:rFonts w:cs="Arial"/>
          <w:color w:val="000000"/>
          <w:sz w:val="19"/>
          <w:szCs w:val="19"/>
          <w:lang w:val="en-GB"/>
        </w:rPr>
        <w:t xml:space="preserve"> framework, vii</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liabilities</w:t>
      </w:r>
      <w:proofErr w:type="gramEnd"/>
      <w:r w:rsidRPr="00223AA9">
        <w:rPr>
          <w:rFonts w:cs="Arial"/>
          <w:color w:val="000000"/>
          <w:sz w:val="19"/>
          <w:szCs w:val="19"/>
          <w:lang w:val="en-GB"/>
        </w:rPr>
        <w:t>, 38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list</w:t>
      </w:r>
      <w:proofErr w:type="gramEnd"/>
      <w:r w:rsidRPr="00223AA9">
        <w:rPr>
          <w:rFonts w:cs="Arial"/>
          <w:color w:val="000000"/>
          <w:sz w:val="19"/>
          <w:szCs w:val="19"/>
          <w:lang w:val="en-GB"/>
        </w:rPr>
        <w:t xml:space="preserve"> of requirements, 89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M</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male</w:t>
      </w:r>
      <w:proofErr w:type="gramEnd"/>
      <w:r w:rsidRPr="00223AA9">
        <w:rPr>
          <w:rFonts w:cs="Arial"/>
          <w:color w:val="000000"/>
          <w:sz w:val="19"/>
          <w:szCs w:val="19"/>
          <w:lang w:val="en-GB"/>
        </w:rPr>
        <w:t xml:space="preserve"> staff,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management</w:t>
      </w:r>
      <w:proofErr w:type="gramEnd"/>
      <w:r w:rsidRPr="00223AA9">
        <w:rPr>
          <w:rFonts w:cs="Arial"/>
          <w:color w:val="000000"/>
          <w:sz w:val="19"/>
          <w:szCs w:val="19"/>
          <w:lang w:val="en-GB"/>
        </w:rPr>
        <w:t xml:space="preserve"> and accountability, 17–26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market</w:t>
      </w:r>
      <w:proofErr w:type="gramEnd"/>
      <w:r w:rsidRPr="00223AA9">
        <w:rPr>
          <w:rFonts w:cs="Arial"/>
          <w:color w:val="000000"/>
          <w:sz w:val="19"/>
          <w:szCs w:val="19"/>
          <w:lang w:val="en-GB"/>
        </w:rPr>
        <w:t xml:space="preserve"> research, 28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Medical Board of Australia, 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medical</w:t>
      </w:r>
      <w:proofErr w:type="gramEnd"/>
      <w:r w:rsidRPr="00223AA9">
        <w:rPr>
          <w:rFonts w:cs="Arial"/>
          <w:color w:val="000000"/>
          <w:sz w:val="19"/>
          <w:szCs w:val="19"/>
          <w:lang w:val="en-GB"/>
        </w:rPr>
        <w:t xml:space="preserve"> boards, referrals to, 4,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Medical Services Committees of Inquiry, 16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Medicare Benefits Schedule Book, 10, 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Medicare Benefits Scheme, 1–16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t xml:space="preserve">80/20 </w:t>
      </w:r>
      <w:proofErr w:type="gramStart"/>
      <w:r w:rsidRPr="00223AA9">
        <w:rPr>
          <w:rFonts w:cs="Arial"/>
          <w:color w:val="000000"/>
          <w:sz w:val="19"/>
          <w:szCs w:val="19"/>
          <w:lang w:val="en-GB"/>
        </w:rPr>
        <w:t>rule</w:t>
      </w:r>
      <w:proofErr w:type="gramEnd"/>
      <w:r w:rsidRPr="00223AA9">
        <w:rPr>
          <w:rFonts w:cs="Arial"/>
          <w:color w:val="000000"/>
          <w:sz w:val="19"/>
          <w:szCs w:val="19"/>
          <w:lang w:val="en-GB"/>
        </w:rPr>
        <w:t>, 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chronic</w:t>
      </w:r>
      <w:proofErr w:type="gramEnd"/>
      <w:r w:rsidRPr="00223AA9">
        <w:rPr>
          <w:rFonts w:cs="Arial"/>
          <w:color w:val="000000"/>
          <w:sz w:val="19"/>
          <w:szCs w:val="19"/>
          <w:lang w:val="en-GB"/>
        </w:rPr>
        <w:t xml:space="preserve"> disease management items, 9–11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partial</w:t>
      </w:r>
      <w:proofErr w:type="gramEnd"/>
      <w:r w:rsidRPr="00223AA9">
        <w:rPr>
          <w:rFonts w:cs="Arial"/>
          <w:color w:val="000000"/>
          <w:sz w:val="19"/>
          <w:szCs w:val="19"/>
          <w:lang w:val="en-GB"/>
        </w:rPr>
        <w:t xml:space="preserve"> and full disqualifications, 5,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participation</w:t>
      </w:r>
      <w:proofErr w:type="gramEnd"/>
      <w:r w:rsidRPr="00223AA9">
        <w:rPr>
          <w:rFonts w:cs="Arial"/>
          <w:color w:val="000000"/>
          <w:sz w:val="19"/>
          <w:szCs w:val="19"/>
          <w:lang w:val="en-GB"/>
        </w:rPr>
        <w:t xml:space="preserve"> review committees,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repayment</w:t>
      </w:r>
      <w:proofErr w:type="gramEnd"/>
      <w:r w:rsidRPr="00223AA9">
        <w:rPr>
          <w:rFonts w:cs="Arial"/>
          <w:color w:val="000000"/>
          <w:sz w:val="19"/>
          <w:szCs w:val="19"/>
          <w:lang w:val="en-GB"/>
        </w:rPr>
        <w:t xml:space="preserve"> orders, 5, 6, 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and</w:t>
      </w:r>
      <w:proofErr w:type="gramEnd"/>
      <w:r w:rsidRPr="00223AA9">
        <w:rPr>
          <w:rFonts w:cs="Arial"/>
          <w:color w:val="000000"/>
          <w:sz w:val="19"/>
          <w:szCs w:val="19"/>
          <w:lang w:val="en-GB"/>
        </w:rPr>
        <w:t xml:space="preserve"> unorthodox practice, 12–14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unusual</w:t>
      </w:r>
      <w:proofErr w:type="gramEnd"/>
      <w:r w:rsidRPr="00223AA9">
        <w:rPr>
          <w:rFonts w:cs="Arial"/>
          <w:color w:val="000000"/>
          <w:sz w:val="19"/>
          <w:szCs w:val="19"/>
          <w:lang w:val="en-GB"/>
        </w:rPr>
        <w:t xml:space="preserve"> treatments, 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i/>
          <w:iCs/>
          <w:color w:val="000000"/>
          <w:sz w:val="19"/>
          <w:szCs w:val="19"/>
          <w:lang w:val="en-GB"/>
        </w:rPr>
      </w:pPr>
      <w:r w:rsidRPr="00223AA9">
        <w:rPr>
          <w:rFonts w:cs="Arial"/>
          <w:i/>
          <w:iCs/>
          <w:color w:val="000000"/>
          <w:sz w:val="19"/>
          <w:szCs w:val="19"/>
          <w:lang w:val="en-GB"/>
        </w:rPr>
        <w:tab/>
      </w:r>
      <w:proofErr w:type="gramStart"/>
      <w:r w:rsidRPr="00223AA9">
        <w:rPr>
          <w:rFonts w:cs="Arial"/>
          <w:i/>
          <w:iCs/>
          <w:color w:val="000000"/>
          <w:sz w:val="19"/>
          <w:szCs w:val="19"/>
          <w:lang w:val="en-GB"/>
        </w:rPr>
        <w:t>see</w:t>
      </w:r>
      <w:proofErr w:type="gramEnd"/>
      <w:r w:rsidRPr="00223AA9">
        <w:rPr>
          <w:rFonts w:cs="Arial"/>
          <w:color w:val="000000"/>
          <w:sz w:val="19"/>
          <w:szCs w:val="19"/>
          <w:lang w:val="en-GB"/>
        </w:rPr>
        <w:t xml:space="preserve"> </w:t>
      </w:r>
      <w:r w:rsidRPr="00223AA9">
        <w:rPr>
          <w:rFonts w:cs="Arial"/>
          <w:i/>
          <w:iCs/>
          <w:color w:val="000000"/>
          <w:sz w:val="19"/>
          <w:szCs w:val="19"/>
          <w:lang w:val="en-GB"/>
        </w:rPr>
        <w:t>also</w:t>
      </w:r>
      <w:r w:rsidR="00223AA9">
        <w:rPr>
          <w:rFonts w:cs="Arial"/>
          <w:color w:val="000000"/>
          <w:sz w:val="19"/>
          <w:szCs w:val="19"/>
          <w:lang w:val="en-GB"/>
        </w:rPr>
        <w:t xml:space="preserve"> inappropriate practice; </w:t>
      </w:r>
      <w:r w:rsidRPr="00223AA9">
        <w:rPr>
          <w:rFonts w:cs="Arial"/>
          <w:color w:val="000000"/>
          <w:sz w:val="19"/>
          <w:szCs w:val="19"/>
          <w:lang w:val="en-GB"/>
        </w:rPr>
        <w:t>rebates, Medicare; repayment orders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migraine</w:t>
      </w:r>
      <w:proofErr w:type="gramEnd"/>
      <w:r w:rsidRPr="00223AA9">
        <w:rPr>
          <w:rFonts w:cs="Arial"/>
          <w:color w:val="000000"/>
          <w:sz w:val="19"/>
          <w:szCs w:val="19"/>
          <w:lang w:val="en-GB"/>
        </w:rPr>
        <w:t xml:space="preserve"> treatments, 12–13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Minister for Health,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N</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National Disability Strategy 2010–2020, 26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National Re</w:t>
      </w:r>
      <w:r w:rsidR="00223AA9">
        <w:rPr>
          <w:rFonts w:cs="Arial"/>
          <w:color w:val="000000"/>
          <w:sz w:val="19"/>
          <w:szCs w:val="19"/>
          <w:lang w:val="en-GB"/>
        </w:rPr>
        <w:t xml:space="preserve">gistration and Accreditation </w:t>
      </w:r>
      <w:r w:rsidRPr="00223AA9">
        <w:rPr>
          <w:rFonts w:cs="Arial"/>
          <w:color w:val="000000"/>
          <w:sz w:val="19"/>
          <w:szCs w:val="19"/>
          <w:lang w:val="en-GB"/>
        </w:rPr>
        <w:t>Scheme, 15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negotiated</w:t>
      </w:r>
      <w:proofErr w:type="gramEnd"/>
      <w:r w:rsidRPr="00223AA9">
        <w:rPr>
          <w:rFonts w:cs="Arial"/>
          <w:color w:val="000000"/>
          <w:sz w:val="19"/>
          <w:szCs w:val="19"/>
          <w:lang w:val="en-GB"/>
        </w:rPr>
        <w:t xml:space="preserve"> (section 92) agreements, 4, 5,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w:t>
      </w:r>
      <w:proofErr w:type="gramEnd"/>
      <w:r w:rsidRPr="00223AA9">
        <w:rPr>
          <w:rFonts w:cs="Arial"/>
          <w:color w:val="000000"/>
          <w:sz w:val="19"/>
          <w:szCs w:val="19"/>
          <w:lang w:val="en-GB"/>
        </w:rPr>
        <w:t>-referrals after,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statistics</w:t>
      </w:r>
      <w:proofErr w:type="gramEnd"/>
      <w:r w:rsidRPr="00223AA9">
        <w:rPr>
          <w:rFonts w:cs="Arial"/>
          <w:color w:val="000000"/>
          <w:sz w:val="19"/>
          <w:szCs w:val="19"/>
          <w:lang w:val="en-GB"/>
        </w:rPr>
        <w:t xml:space="preserve"> on, 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pacing w:val="-2"/>
          <w:sz w:val="19"/>
          <w:szCs w:val="19"/>
          <w:lang w:val="en-GB"/>
        </w:rPr>
        <w:t>no</w:t>
      </w:r>
      <w:proofErr w:type="gramEnd"/>
      <w:r w:rsidRPr="00223AA9">
        <w:rPr>
          <w:rFonts w:cs="Arial"/>
          <w:color w:val="000000"/>
          <w:spacing w:val="-2"/>
          <w:sz w:val="19"/>
          <w:szCs w:val="19"/>
          <w:lang w:val="en-GB"/>
        </w:rPr>
        <w:t xml:space="preserve"> further action (section 91) decisions, 4, 5,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non</w:t>
      </w:r>
      <w:proofErr w:type="gramEnd"/>
      <w:r w:rsidRPr="00223AA9">
        <w:rPr>
          <w:rFonts w:cs="Arial"/>
          <w:color w:val="000000"/>
          <w:sz w:val="19"/>
          <w:szCs w:val="19"/>
          <w:lang w:val="en-GB"/>
        </w:rPr>
        <w:t>-English-speaking backgrounds, staff from,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non</w:t>
      </w:r>
      <w:proofErr w:type="gramEnd"/>
      <w:r w:rsidRPr="00223AA9">
        <w:rPr>
          <w:rFonts w:cs="Arial"/>
          <w:color w:val="000000"/>
          <w:sz w:val="19"/>
          <w:szCs w:val="19"/>
          <w:lang w:val="en-GB"/>
        </w:rPr>
        <w:t>-salary benefits, staff, 24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number</w:t>
      </w:r>
      <w:proofErr w:type="gramEnd"/>
      <w:r w:rsidRPr="00223AA9">
        <w:rPr>
          <w:rFonts w:cs="Arial"/>
          <w:color w:val="000000"/>
          <w:sz w:val="19"/>
          <w:szCs w:val="19"/>
          <w:lang w:val="en-GB"/>
        </w:rPr>
        <w:t xml:space="preserve"> of staff,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nurses</w:t>
      </w:r>
      <w:proofErr w:type="gramEnd"/>
      <w:r w:rsidRPr="00223AA9">
        <w:rPr>
          <w:rFonts w:cs="Arial"/>
          <w:color w:val="000000"/>
          <w:sz w:val="19"/>
          <w:szCs w:val="19"/>
          <w:lang w:val="en-GB"/>
        </w:rPr>
        <w:t>, preparation of GP management plans by, 10–11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O</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objectives</w:t>
      </w:r>
      <w:proofErr w:type="gramEnd"/>
      <w:r w:rsidRPr="00223AA9">
        <w:rPr>
          <w:rFonts w:cs="Arial"/>
          <w:color w:val="000000"/>
          <w:sz w:val="19"/>
          <w:szCs w:val="19"/>
          <w:lang w:val="en-GB"/>
        </w:rPr>
        <w:t>, 1–2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occupational</w:t>
      </w:r>
      <w:proofErr w:type="gramEnd"/>
      <w:r w:rsidRPr="00223AA9">
        <w:rPr>
          <w:rFonts w:cs="Arial"/>
          <w:color w:val="000000"/>
          <w:sz w:val="19"/>
          <w:szCs w:val="19"/>
          <w:lang w:val="en-GB"/>
        </w:rPr>
        <w:t xml:space="preserve"> health and safety </w:t>
      </w:r>
      <w:r w:rsidRPr="00223AA9">
        <w:rPr>
          <w:rFonts w:cs="Arial"/>
          <w:i/>
          <w:iCs/>
          <w:color w:val="000000"/>
          <w:sz w:val="19"/>
          <w:szCs w:val="19"/>
          <w:lang w:val="en-GB"/>
        </w:rPr>
        <w:t>see</w:t>
      </w:r>
      <w:r w:rsidR="00223AA9">
        <w:rPr>
          <w:rFonts w:cs="Arial"/>
          <w:color w:val="000000"/>
          <w:sz w:val="19"/>
          <w:szCs w:val="19"/>
          <w:lang w:val="en-GB"/>
        </w:rPr>
        <w:t xml:space="preserve"> work </w:t>
      </w:r>
      <w:r w:rsidRPr="00223AA9">
        <w:rPr>
          <w:rFonts w:cs="Arial"/>
          <w:color w:val="000000"/>
          <w:sz w:val="19"/>
          <w:szCs w:val="19"/>
          <w:lang w:val="en-GB"/>
        </w:rPr>
        <w:t>health and safety</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online</w:t>
      </w:r>
      <w:proofErr w:type="gramEnd"/>
      <w:r w:rsidRPr="00223AA9">
        <w:rPr>
          <w:rFonts w:cs="Arial"/>
          <w:color w:val="000000"/>
          <w:sz w:val="19"/>
          <w:szCs w:val="19"/>
          <w:lang w:val="en-GB"/>
        </w:rPr>
        <w:t xml:space="preserve"> resources and information, 18, 29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organisation</w:t>
      </w:r>
      <w:proofErr w:type="gramEnd"/>
      <w:r w:rsidRPr="00223AA9">
        <w:rPr>
          <w:rFonts w:cs="Arial"/>
          <w:color w:val="000000"/>
          <w:sz w:val="19"/>
          <w:szCs w:val="19"/>
          <w:lang w:val="en-GB"/>
        </w:rPr>
        <w:t xml:space="preserve"> chart, 18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organisational</w:t>
      </w:r>
      <w:proofErr w:type="gramEnd"/>
      <w:r w:rsidRPr="00223AA9">
        <w:rPr>
          <w:rFonts w:cs="Arial"/>
          <w:color w:val="000000"/>
          <w:sz w:val="19"/>
          <w:szCs w:val="19"/>
          <w:lang w:val="en-GB"/>
        </w:rPr>
        <w:t xml:space="preserve"> structure, 17–18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outcome</w:t>
      </w:r>
      <w:proofErr w:type="gramEnd"/>
      <w:r w:rsidRPr="00223AA9">
        <w:rPr>
          <w:rFonts w:cs="Arial"/>
          <w:color w:val="000000"/>
          <w:sz w:val="19"/>
          <w:szCs w:val="19"/>
          <w:lang w:val="en-GB"/>
        </w:rPr>
        <w:t>, 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outlook</w:t>
      </w:r>
      <w:proofErr w:type="gramEnd"/>
      <w:r w:rsidRPr="00223AA9">
        <w:rPr>
          <w:rFonts w:cs="Arial"/>
          <w:color w:val="000000"/>
          <w:sz w:val="19"/>
          <w:szCs w:val="19"/>
          <w:lang w:val="en-GB"/>
        </w:rPr>
        <w:t>, 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overview</w:t>
      </w:r>
      <w:proofErr w:type="gramEnd"/>
      <w:r w:rsidRPr="00223AA9">
        <w:rPr>
          <w:rFonts w:cs="Arial"/>
          <w:color w:val="000000"/>
          <w:sz w:val="19"/>
          <w:szCs w:val="19"/>
          <w:lang w:val="en-GB"/>
        </w:rPr>
        <w:t>, 1–2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P</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 xml:space="preserve">Panel </w:t>
      </w:r>
      <w:r w:rsidRPr="00223AA9">
        <w:rPr>
          <w:rFonts w:cs="Arial"/>
          <w:i/>
          <w:iCs/>
          <w:color w:val="000000"/>
          <w:sz w:val="19"/>
          <w:szCs w:val="19"/>
          <w:lang w:val="en-GB"/>
        </w:rPr>
        <w:t>see</w:t>
      </w:r>
      <w:r w:rsidRPr="00223AA9">
        <w:rPr>
          <w:rFonts w:cs="Arial"/>
          <w:color w:val="000000"/>
          <w:sz w:val="19"/>
          <w:szCs w:val="19"/>
          <w:lang w:val="en-GB"/>
        </w:rPr>
        <w:t xml:space="preserve"> Professional Services Review Panel</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parliamentary</w:t>
      </w:r>
      <w:proofErr w:type="gramEnd"/>
      <w:r w:rsidRPr="00223AA9">
        <w:rPr>
          <w:rFonts w:cs="Arial"/>
          <w:color w:val="000000"/>
          <w:sz w:val="19"/>
          <w:szCs w:val="19"/>
          <w:lang w:val="en-GB"/>
        </w:rPr>
        <w:t xml:space="preserve"> committees, 15, 21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part</w:t>
      </w:r>
      <w:proofErr w:type="gramEnd"/>
      <w:r w:rsidRPr="00223AA9">
        <w:rPr>
          <w:rFonts w:cs="Arial"/>
          <w:color w:val="000000"/>
          <w:sz w:val="19"/>
          <w:szCs w:val="19"/>
          <w:lang w:val="en-GB"/>
        </w:rPr>
        <w:t>-time staff,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participation</w:t>
      </w:r>
      <w:proofErr w:type="gramEnd"/>
      <w:r w:rsidRPr="00223AA9">
        <w:rPr>
          <w:rFonts w:cs="Arial"/>
          <w:color w:val="000000"/>
          <w:sz w:val="19"/>
          <w:szCs w:val="19"/>
          <w:lang w:val="en-GB"/>
        </w:rPr>
        <w:t xml:space="preserve"> review committee, Medicare,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pathology</w:t>
      </w:r>
      <w:proofErr w:type="gramEnd"/>
      <w:r w:rsidRPr="00223AA9">
        <w:rPr>
          <w:rFonts w:cs="Arial"/>
          <w:color w:val="000000"/>
          <w:sz w:val="19"/>
          <w:szCs w:val="19"/>
          <w:lang w:val="en-GB"/>
        </w:rPr>
        <w:t xml:space="preserve"> services, 14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pay</w:t>
      </w:r>
      <w:proofErr w:type="gramEnd"/>
      <w:r w:rsidRPr="00223AA9">
        <w:rPr>
          <w:rFonts w:cs="Arial"/>
          <w:color w:val="000000"/>
          <w:sz w:val="19"/>
          <w:szCs w:val="19"/>
          <w:lang w:val="en-GB"/>
        </w:rPr>
        <w:t xml:space="preserve"> </w:t>
      </w:r>
      <w:r w:rsidRPr="00223AA9">
        <w:rPr>
          <w:rFonts w:cs="Arial"/>
          <w:i/>
          <w:iCs/>
          <w:color w:val="000000"/>
          <w:sz w:val="19"/>
          <w:szCs w:val="19"/>
          <w:lang w:val="en-GB"/>
        </w:rPr>
        <w:t>see</w:t>
      </w:r>
      <w:r w:rsidRPr="00223AA9">
        <w:rPr>
          <w:rFonts w:cs="Arial"/>
          <w:color w:val="000000"/>
          <w:sz w:val="19"/>
          <w:szCs w:val="19"/>
          <w:lang w:val="en-GB"/>
        </w:rPr>
        <w:t xml:space="preserve"> remuneration</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pacing w:val="-6"/>
          <w:sz w:val="19"/>
          <w:szCs w:val="19"/>
          <w:lang w:val="en-GB"/>
        </w:rPr>
        <w:t>Performance Development Scheme, staff, 22, 25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performance</w:t>
      </w:r>
      <w:proofErr w:type="gramEnd"/>
      <w:r w:rsidRPr="00223AA9">
        <w:rPr>
          <w:rFonts w:cs="Arial"/>
          <w:color w:val="000000"/>
          <w:sz w:val="19"/>
          <w:szCs w:val="19"/>
          <w:lang w:val="en-GB"/>
        </w:rPr>
        <w:t xml:space="preserve"> report, 3–16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Pharmaceutical Benefits Scheme, 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inappropriate</w:t>
      </w:r>
      <w:proofErr w:type="gramEnd"/>
      <w:r w:rsidRPr="00223AA9">
        <w:rPr>
          <w:rFonts w:cs="Arial"/>
          <w:color w:val="000000"/>
          <w:sz w:val="19"/>
          <w:szCs w:val="19"/>
          <w:lang w:val="en-GB"/>
        </w:rPr>
        <w:t xml:space="preserve"> practice, 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physiotherapists</w:t>
      </w:r>
      <w:proofErr w:type="gramEnd"/>
      <w:r w:rsidRPr="00223AA9">
        <w:rPr>
          <w:rFonts w:cs="Arial"/>
          <w:color w:val="000000"/>
          <w:sz w:val="19"/>
          <w:szCs w:val="19"/>
          <w:lang w:val="en-GB"/>
        </w:rPr>
        <w:t>,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podiatrists</w:t>
      </w:r>
      <w:proofErr w:type="gramEnd"/>
      <w:r w:rsidRPr="00223AA9">
        <w:rPr>
          <w:rFonts w:cs="Arial"/>
          <w:color w:val="000000"/>
          <w:sz w:val="19"/>
          <w:szCs w:val="19"/>
          <w:lang w:val="en-GB"/>
        </w:rPr>
        <w:t>,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portfolio</w:t>
      </w:r>
      <w:proofErr w:type="gramEnd"/>
      <w:r w:rsidRPr="00223AA9">
        <w:rPr>
          <w:rFonts w:cs="Arial"/>
          <w:color w:val="000000"/>
          <w:sz w:val="19"/>
          <w:szCs w:val="19"/>
          <w:lang w:val="en-GB"/>
        </w:rPr>
        <w:t>,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portfolio</w:t>
      </w:r>
      <w:proofErr w:type="gramEnd"/>
      <w:r w:rsidRPr="00223AA9">
        <w:rPr>
          <w:rFonts w:cs="Arial"/>
          <w:color w:val="000000"/>
          <w:sz w:val="19"/>
          <w:szCs w:val="19"/>
          <w:lang w:val="en-GB"/>
        </w:rPr>
        <w:t xml:space="preserve"> shared services, 19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Profess</w:t>
      </w:r>
      <w:r w:rsidR="00223AA9">
        <w:rPr>
          <w:rFonts w:cs="Arial"/>
          <w:color w:val="000000"/>
          <w:sz w:val="19"/>
          <w:szCs w:val="19"/>
          <w:lang w:val="en-GB"/>
        </w:rPr>
        <w:t xml:space="preserve">ional Services Review Advisory </w:t>
      </w:r>
      <w:r w:rsidRPr="00223AA9">
        <w:rPr>
          <w:rFonts w:cs="Arial"/>
          <w:color w:val="000000"/>
          <w:sz w:val="19"/>
          <w:szCs w:val="19"/>
          <w:lang w:val="en-GB"/>
        </w:rPr>
        <w:t>Committee, viii, 21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pacing w:val="-2"/>
          <w:sz w:val="19"/>
          <w:szCs w:val="19"/>
          <w:lang w:val="en-GB"/>
        </w:rPr>
        <w:t>Professional Services Review committees, 1–2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establishment</w:t>
      </w:r>
      <w:proofErr w:type="gramEnd"/>
      <w:r w:rsidRPr="00223AA9">
        <w:rPr>
          <w:rFonts w:cs="Arial"/>
          <w:color w:val="000000"/>
          <w:sz w:val="19"/>
          <w:szCs w:val="19"/>
          <w:lang w:val="en-GB"/>
        </w:rPr>
        <w:t xml:space="preserve"> of,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finalised</w:t>
      </w:r>
      <w:proofErr w:type="gramEnd"/>
      <w:r w:rsidRPr="00223AA9">
        <w:rPr>
          <w:rFonts w:cs="Arial"/>
          <w:color w:val="000000"/>
          <w:sz w:val="19"/>
          <w:szCs w:val="19"/>
          <w:lang w:val="en-GB"/>
        </w:rPr>
        <w:t xml:space="preserve"> reports, 4,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t>GP m</w:t>
      </w:r>
      <w:r w:rsidR="00223AA9">
        <w:rPr>
          <w:rFonts w:cs="Arial"/>
          <w:color w:val="000000"/>
          <w:sz w:val="19"/>
          <w:szCs w:val="19"/>
          <w:lang w:val="en-GB"/>
        </w:rPr>
        <w:t xml:space="preserve">anagement plans and team care </w:t>
      </w:r>
      <w:r w:rsidRPr="00223AA9">
        <w:rPr>
          <w:rFonts w:cs="Arial"/>
          <w:color w:val="000000"/>
          <w:sz w:val="19"/>
          <w:szCs w:val="19"/>
          <w:lang w:val="en-GB"/>
        </w:rPr>
        <w:t>arrangements,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referrals</w:t>
      </w:r>
      <w:proofErr w:type="gramEnd"/>
      <w:r w:rsidRPr="00223AA9">
        <w:rPr>
          <w:rFonts w:cs="Arial"/>
          <w:color w:val="000000"/>
          <w:sz w:val="19"/>
          <w:szCs w:val="19"/>
          <w:lang w:val="en-GB"/>
        </w:rPr>
        <w:t xml:space="preserve"> to, 4,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Profess</w:t>
      </w:r>
      <w:r w:rsidR="00223AA9">
        <w:rPr>
          <w:rFonts w:cs="Arial"/>
          <w:color w:val="000000"/>
          <w:sz w:val="19"/>
          <w:szCs w:val="19"/>
          <w:lang w:val="en-GB"/>
        </w:rPr>
        <w:t xml:space="preserve">ional Services Review Controls </w:t>
      </w:r>
      <w:r w:rsidRPr="00223AA9">
        <w:rPr>
          <w:rFonts w:cs="Arial"/>
          <w:color w:val="000000"/>
          <w:sz w:val="19"/>
          <w:szCs w:val="19"/>
          <w:lang w:val="en-GB"/>
        </w:rPr>
        <w:t>Framework, 21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Professional Services Review Panel, vii, 1,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members</w:t>
      </w:r>
      <w:proofErr w:type="gramEnd"/>
      <w:r w:rsidRPr="00223AA9">
        <w:rPr>
          <w:rFonts w:cs="Arial"/>
          <w:color w:val="000000"/>
          <w:sz w:val="19"/>
          <w:szCs w:val="19"/>
          <w:lang w:val="en-GB"/>
        </w:rPr>
        <w:t>, 6, 24–25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remuneration</w:t>
      </w:r>
      <w:proofErr w:type="gramEnd"/>
      <w:r w:rsidRPr="00223AA9">
        <w:rPr>
          <w:rFonts w:cs="Arial"/>
          <w:color w:val="000000"/>
          <w:sz w:val="19"/>
          <w:szCs w:val="19"/>
          <w:lang w:val="en-GB"/>
        </w:rPr>
        <w:t>, 24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Professional Services Review Scheme</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background</w:t>
      </w:r>
      <w:proofErr w:type="gramEnd"/>
      <w:r w:rsidRPr="00223AA9">
        <w:rPr>
          <w:rFonts w:cs="Arial"/>
          <w:color w:val="000000"/>
          <w:sz w:val="19"/>
          <w:szCs w:val="19"/>
          <w:lang w:val="en-GB"/>
        </w:rPr>
        <w:t xml:space="preserve"> to, 15–16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establishing</w:t>
      </w:r>
      <w:proofErr w:type="gramEnd"/>
      <w:r w:rsidRPr="00223AA9">
        <w:rPr>
          <w:rFonts w:cs="Arial"/>
          <w:color w:val="000000"/>
          <w:sz w:val="19"/>
          <w:szCs w:val="19"/>
          <w:lang w:val="en-GB"/>
        </w:rPr>
        <w:t xml:space="preserve"> legislation,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Provider Percentile Charts,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publications</w:t>
      </w:r>
      <w:proofErr w:type="gramEnd"/>
      <w:r w:rsidRPr="00223AA9">
        <w:rPr>
          <w:rFonts w:cs="Arial"/>
          <w:color w:val="000000"/>
          <w:sz w:val="19"/>
          <w:szCs w:val="19"/>
          <w:lang w:val="en-GB"/>
        </w:rPr>
        <w:t>, 29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purchasing</w:t>
      </w:r>
      <w:proofErr w:type="gramEnd"/>
      <w:r w:rsidRPr="00223AA9">
        <w:rPr>
          <w:rFonts w:cs="Arial"/>
          <w:color w:val="000000"/>
          <w:sz w:val="19"/>
          <w:szCs w:val="19"/>
          <w:lang w:val="en-GB"/>
        </w:rPr>
        <w:t>, 27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b/>
          <w:bCs/>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R</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w:t>
      </w:r>
      <w:proofErr w:type="gramEnd"/>
      <w:r w:rsidRPr="00223AA9">
        <w:rPr>
          <w:rFonts w:cs="Arial"/>
          <w:color w:val="000000"/>
          <w:sz w:val="19"/>
          <w:szCs w:val="19"/>
          <w:lang w:val="en-GB"/>
        </w:rPr>
        <w:t>-referrals,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rebates</w:t>
      </w:r>
      <w:proofErr w:type="gramEnd"/>
      <w:r w:rsidRPr="00223AA9">
        <w:rPr>
          <w:rFonts w:cs="Arial"/>
          <w:color w:val="000000"/>
          <w:sz w:val="19"/>
          <w:szCs w:val="19"/>
          <w:lang w:val="en-GB"/>
        </w:rPr>
        <w:t>, Medicare, 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for</w:t>
      </w:r>
      <w:proofErr w:type="gramEnd"/>
      <w:r w:rsidRPr="00223AA9">
        <w:rPr>
          <w:rFonts w:cs="Arial"/>
          <w:color w:val="000000"/>
          <w:sz w:val="19"/>
          <w:szCs w:val="19"/>
          <w:lang w:val="en-GB"/>
        </w:rPr>
        <w:t xml:space="preserve"> allied health professionals, 10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chronic</w:t>
      </w:r>
      <w:proofErr w:type="gramEnd"/>
      <w:r w:rsidRPr="00223AA9">
        <w:rPr>
          <w:rFonts w:cs="Arial"/>
          <w:color w:val="000000"/>
          <w:sz w:val="19"/>
          <w:szCs w:val="19"/>
          <w:lang w:val="en-GB"/>
        </w:rPr>
        <w:t xml:space="preserve"> disease management, 10–11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unorthodox</w:t>
      </w:r>
      <w:proofErr w:type="gramEnd"/>
      <w:r w:rsidRPr="00223AA9">
        <w:rPr>
          <w:rFonts w:cs="Arial"/>
          <w:color w:val="000000"/>
          <w:sz w:val="19"/>
          <w:szCs w:val="19"/>
          <w:lang w:val="en-GB"/>
        </w:rPr>
        <w:t xml:space="preserve"> and unusual practice, 12–13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i/>
          <w:iCs/>
          <w:color w:val="000000"/>
          <w:sz w:val="19"/>
          <w:szCs w:val="19"/>
          <w:lang w:val="en-GB"/>
        </w:rPr>
      </w:pPr>
      <w:r w:rsidRPr="00223AA9">
        <w:rPr>
          <w:rFonts w:cs="Arial"/>
          <w:i/>
          <w:iCs/>
          <w:color w:val="000000"/>
          <w:sz w:val="19"/>
          <w:szCs w:val="19"/>
          <w:lang w:val="en-GB"/>
        </w:rPr>
        <w:tab/>
      </w:r>
      <w:proofErr w:type="gramStart"/>
      <w:r w:rsidRPr="00223AA9">
        <w:rPr>
          <w:rFonts w:cs="Arial"/>
          <w:i/>
          <w:iCs/>
          <w:color w:val="000000"/>
          <w:sz w:val="19"/>
          <w:szCs w:val="19"/>
          <w:lang w:val="en-GB"/>
        </w:rPr>
        <w:t>see</w:t>
      </w:r>
      <w:proofErr w:type="gramEnd"/>
      <w:r w:rsidRPr="00223AA9">
        <w:rPr>
          <w:rFonts w:cs="Arial"/>
          <w:color w:val="000000"/>
          <w:sz w:val="19"/>
          <w:szCs w:val="19"/>
          <w:lang w:val="en-GB"/>
        </w:rPr>
        <w:t xml:space="preserve"> </w:t>
      </w:r>
      <w:r w:rsidRPr="00223AA9">
        <w:rPr>
          <w:rFonts w:cs="Arial"/>
          <w:i/>
          <w:iCs/>
          <w:color w:val="000000"/>
          <w:sz w:val="19"/>
          <w:szCs w:val="19"/>
          <w:lang w:val="en-GB"/>
        </w:rPr>
        <w:t>also</w:t>
      </w:r>
      <w:r w:rsidRPr="00223AA9">
        <w:rPr>
          <w:rFonts w:cs="Arial"/>
          <w:color w:val="000000"/>
          <w:sz w:val="19"/>
          <w:szCs w:val="19"/>
          <w:lang w:val="en-GB"/>
        </w:rPr>
        <w:t xml:space="preserve"> Medicare Benefits Scheme</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recurrent</w:t>
      </w:r>
      <w:proofErr w:type="gramEnd"/>
      <w:r w:rsidRPr="00223AA9">
        <w:rPr>
          <w:rFonts w:cs="Arial"/>
          <w:color w:val="000000"/>
          <w:sz w:val="19"/>
          <w:szCs w:val="19"/>
          <w:lang w:val="en-GB"/>
        </w:rPr>
        <w:t xml:space="preserve"> issues, 9–12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referrals</w:t>
      </w:r>
      <w:proofErr w:type="gramEnd"/>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to</w:t>
      </w:r>
      <w:proofErr w:type="gramEnd"/>
      <w:r w:rsidRPr="00223AA9">
        <w:rPr>
          <w:rFonts w:cs="Arial"/>
          <w:color w:val="000000"/>
          <w:sz w:val="19"/>
          <w:szCs w:val="19"/>
          <w:lang w:val="en-GB"/>
        </w:rPr>
        <w:t xml:space="preserve"> AH</w:t>
      </w:r>
      <w:r w:rsidR="00223AA9">
        <w:rPr>
          <w:rFonts w:cs="Arial"/>
          <w:color w:val="000000"/>
          <w:sz w:val="19"/>
          <w:szCs w:val="19"/>
          <w:lang w:val="en-GB"/>
        </w:rPr>
        <w:t xml:space="preserve">PRA, medical boards or other </w:t>
      </w:r>
      <w:r w:rsidRPr="00223AA9">
        <w:rPr>
          <w:rFonts w:cs="Arial"/>
          <w:color w:val="000000"/>
          <w:sz w:val="19"/>
          <w:szCs w:val="19"/>
          <w:lang w:val="en-GB"/>
        </w:rPr>
        <w:t>bodies, 4,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to</w:t>
      </w:r>
      <w:proofErr w:type="gramEnd"/>
      <w:r w:rsidRPr="00223AA9">
        <w:rPr>
          <w:rFonts w:cs="Arial"/>
          <w:color w:val="000000"/>
          <w:sz w:val="19"/>
          <w:szCs w:val="19"/>
          <w:lang w:val="en-GB"/>
        </w:rPr>
        <w:t xml:space="preserve"> DHS for suspected fraud,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to</w:t>
      </w:r>
      <w:proofErr w:type="gramEnd"/>
      <w:r w:rsidRPr="00223AA9">
        <w:rPr>
          <w:rFonts w:cs="Arial"/>
          <w:color w:val="000000"/>
          <w:sz w:val="19"/>
          <w:szCs w:val="19"/>
          <w:lang w:val="en-GB"/>
        </w:rPr>
        <w:t xml:space="preserve"> Medicare partici</w:t>
      </w:r>
      <w:r w:rsidR="00223AA9">
        <w:rPr>
          <w:rFonts w:cs="Arial"/>
          <w:color w:val="000000"/>
          <w:sz w:val="19"/>
          <w:szCs w:val="19"/>
          <w:lang w:val="en-GB"/>
        </w:rPr>
        <w:t xml:space="preserve">pation review </w:t>
      </w:r>
      <w:r w:rsidRPr="00223AA9">
        <w:rPr>
          <w:rFonts w:cs="Arial"/>
          <w:color w:val="000000"/>
          <w:sz w:val="19"/>
          <w:szCs w:val="19"/>
          <w:lang w:val="en-GB"/>
        </w:rPr>
        <w:t>committees,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to</w:t>
      </w:r>
      <w:proofErr w:type="gramEnd"/>
      <w:r w:rsidRPr="00223AA9">
        <w:rPr>
          <w:rFonts w:cs="Arial"/>
          <w:color w:val="000000"/>
          <w:sz w:val="19"/>
          <w:szCs w:val="19"/>
          <w:lang w:val="en-GB"/>
        </w:rPr>
        <w:t xml:space="preserve"> P</w:t>
      </w:r>
      <w:r w:rsidR="00223AA9">
        <w:rPr>
          <w:rFonts w:cs="Arial"/>
          <w:color w:val="000000"/>
          <w:sz w:val="19"/>
          <w:szCs w:val="19"/>
          <w:lang w:val="en-GB"/>
        </w:rPr>
        <w:t xml:space="preserve">rofessional Services Review </w:t>
      </w:r>
      <w:r w:rsidRPr="00223AA9">
        <w:rPr>
          <w:rFonts w:cs="Arial"/>
          <w:color w:val="000000"/>
          <w:sz w:val="19"/>
          <w:szCs w:val="19"/>
          <w:lang w:val="en-GB"/>
        </w:rPr>
        <w:t>committees,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repeat</w:t>
      </w:r>
      <w:proofErr w:type="gramEnd"/>
      <w:r w:rsidRPr="00223AA9">
        <w:rPr>
          <w:rFonts w:cs="Arial"/>
          <w:color w:val="000000"/>
          <w:sz w:val="19"/>
          <w:szCs w:val="19"/>
          <w:lang w:val="en-GB"/>
        </w:rPr>
        <w:t>,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regulatory</w:t>
      </w:r>
      <w:proofErr w:type="gramEnd"/>
      <w:r w:rsidRPr="00223AA9">
        <w:rPr>
          <w:rFonts w:cs="Arial"/>
          <w:color w:val="000000"/>
          <w:sz w:val="19"/>
          <w:szCs w:val="19"/>
          <w:lang w:val="en-GB"/>
        </w:rPr>
        <w:t xml:space="preserve"> bodies, referral to, 8, 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remuneration</w:t>
      </w:r>
      <w:proofErr w:type="gramEnd"/>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auditors</w:t>
      </w:r>
      <w:proofErr w:type="gramEnd"/>
      <w:r w:rsidRPr="00223AA9">
        <w:rPr>
          <w:rFonts w:cs="Arial"/>
          <w:color w:val="000000"/>
          <w:sz w:val="19"/>
          <w:szCs w:val="19"/>
          <w:lang w:val="en-GB"/>
        </w:rPr>
        <w:t>, 74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senior</w:t>
      </w:r>
      <w:proofErr w:type="gramEnd"/>
      <w:r w:rsidRPr="00223AA9">
        <w:rPr>
          <w:rFonts w:cs="Arial"/>
          <w:color w:val="000000"/>
          <w:sz w:val="19"/>
          <w:szCs w:val="19"/>
          <w:lang w:val="en-GB"/>
        </w:rPr>
        <w:t xml:space="preserve"> executives, 72–73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staff</w:t>
      </w:r>
      <w:proofErr w:type="gramEnd"/>
      <w:r w:rsidRPr="00223AA9">
        <w:rPr>
          <w:rFonts w:cs="Arial"/>
          <w:color w:val="000000"/>
          <w:sz w:val="19"/>
          <w:szCs w:val="19"/>
          <w:lang w:val="en-GB"/>
        </w:rPr>
        <w:t>, 24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Remuneration Tribunal, 24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repayment</w:t>
      </w:r>
      <w:proofErr w:type="gramEnd"/>
      <w:r w:rsidRPr="00223AA9">
        <w:rPr>
          <w:rFonts w:cs="Arial"/>
          <w:color w:val="000000"/>
          <w:sz w:val="19"/>
          <w:szCs w:val="19"/>
          <w:lang w:val="en-GB"/>
        </w:rPr>
        <w:t xml:space="preserve"> orders, 5, 6, 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reporting</w:t>
      </w:r>
      <w:proofErr w:type="gramEnd"/>
      <w:r w:rsidRPr="00223AA9">
        <w:rPr>
          <w:rFonts w:cs="Arial"/>
          <w:color w:val="000000"/>
          <w:sz w:val="19"/>
          <w:szCs w:val="19"/>
          <w:lang w:val="en-GB"/>
        </w:rPr>
        <w:t xml:space="preserve"> lines, 18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reports</w:t>
      </w:r>
      <w:proofErr w:type="gramEnd"/>
      <w:r w:rsidRPr="00223AA9">
        <w:rPr>
          <w:rFonts w:cs="Arial"/>
          <w:color w:val="000000"/>
          <w:sz w:val="19"/>
          <w:szCs w:val="19"/>
          <w:lang w:val="en-GB"/>
        </w:rPr>
        <w:t>, committee,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timeframes</w:t>
      </w:r>
      <w:proofErr w:type="gramEnd"/>
      <w:r w:rsidRPr="00223AA9">
        <w:rPr>
          <w:rFonts w:cs="Arial"/>
          <w:color w:val="000000"/>
          <w:sz w:val="19"/>
          <w:szCs w:val="19"/>
          <w:lang w:val="en-GB"/>
        </w:rPr>
        <w:t xml:space="preserve"> for finalisation,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reprimands</w:t>
      </w:r>
      <w:proofErr w:type="gramEnd"/>
      <w:r w:rsidRPr="00223AA9">
        <w:rPr>
          <w:rFonts w:cs="Arial"/>
          <w:color w:val="000000"/>
          <w:sz w:val="19"/>
          <w:szCs w:val="19"/>
          <w:lang w:val="en-GB"/>
        </w:rPr>
        <w:t>, 5, 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requests</w:t>
      </w:r>
      <w:proofErr w:type="gramEnd"/>
      <w:r w:rsidRPr="00223AA9">
        <w:rPr>
          <w:rFonts w:cs="Arial"/>
          <w:color w:val="000000"/>
          <w:sz w:val="19"/>
          <w:szCs w:val="19"/>
          <w:lang w:val="en-GB"/>
        </w:rPr>
        <w:t xml:space="preserve"> for review</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new</w:t>
      </w:r>
      <w:proofErr w:type="gramEnd"/>
      <w:r w:rsidRPr="00223AA9">
        <w:rPr>
          <w:rFonts w:cs="Arial"/>
          <w:color w:val="000000"/>
          <w:sz w:val="19"/>
          <w:szCs w:val="19"/>
          <w:lang w:val="en-GB"/>
        </w:rPr>
        <w:t>,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withdrawn</w:t>
      </w:r>
      <w:proofErr w:type="gramEnd"/>
      <w:r w:rsidRPr="00223AA9">
        <w:rPr>
          <w:rFonts w:cs="Arial"/>
          <w:color w:val="000000"/>
          <w:sz w:val="19"/>
          <w:szCs w:val="19"/>
          <w:lang w:val="en-GB"/>
        </w:rPr>
        <w:t xml:space="preserve"> or lapsed, 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resource</w:t>
      </w:r>
      <w:proofErr w:type="gramEnd"/>
      <w:r w:rsidRPr="00223AA9">
        <w:rPr>
          <w:rFonts w:cs="Arial"/>
          <w:color w:val="000000"/>
          <w:sz w:val="19"/>
          <w:szCs w:val="19"/>
          <w:lang w:val="en-GB"/>
        </w:rPr>
        <w:t xml:space="preserve"> statement, 32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resources</w:t>
      </w:r>
      <w:proofErr w:type="gramEnd"/>
      <w:r w:rsidRPr="00223AA9">
        <w:rPr>
          <w:rFonts w:cs="Arial"/>
          <w:color w:val="000000"/>
          <w:sz w:val="19"/>
          <w:szCs w:val="19"/>
          <w:lang w:val="en-GB"/>
        </w:rPr>
        <w:t xml:space="preserve"> for outcomes, 32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responsible</w:t>
      </w:r>
      <w:proofErr w:type="gramEnd"/>
      <w:r w:rsidRPr="00223AA9">
        <w:rPr>
          <w:rFonts w:cs="Arial"/>
          <w:color w:val="000000"/>
          <w:sz w:val="19"/>
          <w:szCs w:val="19"/>
          <w:lang w:val="en-GB"/>
        </w:rPr>
        <w:t xml:space="preserve"> minister,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restructure</w:t>
      </w:r>
      <w:proofErr w:type="gramEnd"/>
      <w:r w:rsidRPr="00223AA9">
        <w:rPr>
          <w:rFonts w:cs="Arial"/>
          <w:color w:val="000000"/>
          <w:sz w:val="19"/>
          <w:szCs w:val="19"/>
          <w:lang w:val="en-GB"/>
        </w:rPr>
        <w:t>, organisational, 25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review</w:t>
      </w:r>
      <w:proofErr w:type="gramEnd"/>
      <w:r w:rsidRPr="00223AA9">
        <w:rPr>
          <w:rFonts w:cs="Arial"/>
          <w:color w:val="000000"/>
          <w:sz w:val="19"/>
          <w:szCs w:val="19"/>
          <w:lang w:val="en-GB"/>
        </w:rPr>
        <w:t xml:space="preserve"> decisions </w:t>
      </w:r>
      <w:r w:rsidRPr="00223AA9">
        <w:rPr>
          <w:rFonts w:cs="Arial"/>
          <w:i/>
          <w:iCs/>
          <w:color w:val="000000"/>
          <w:sz w:val="19"/>
          <w:szCs w:val="19"/>
          <w:lang w:val="en-GB"/>
        </w:rPr>
        <w:t>see</w:t>
      </w:r>
      <w:r w:rsidRPr="00223AA9">
        <w:rPr>
          <w:rFonts w:cs="Arial"/>
          <w:color w:val="000000"/>
          <w:sz w:val="19"/>
          <w:szCs w:val="19"/>
          <w:lang w:val="en-GB"/>
        </w:rPr>
        <w:t xml:space="preserve"> decisions review</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i/>
          <w:iCs/>
          <w:color w:val="000000"/>
          <w:sz w:val="19"/>
          <w:szCs w:val="19"/>
          <w:lang w:val="en-GB"/>
        </w:rPr>
        <w:t>Rich v Ingram</w:t>
      </w:r>
      <w:r w:rsidRPr="00223AA9">
        <w:rPr>
          <w:rFonts w:cs="Arial"/>
          <w:color w:val="000000"/>
          <w:sz w:val="19"/>
          <w:szCs w:val="19"/>
          <w:lang w:val="en-GB"/>
        </w:rPr>
        <w:t>, 8</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risk</w:t>
      </w:r>
      <w:proofErr w:type="gramEnd"/>
      <w:r w:rsidRPr="00223AA9">
        <w:rPr>
          <w:rFonts w:cs="Arial"/>
          <w:color w:val="000000"/>
          <w:sz w:val="19"/>
          <w:szCs w:val="19"/>
          <w:lang w:val="en-GB"/>
        </w:rPr>
        <w:t xml:space="preserve"> management, 19–20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Risk Management Improvement Report, 20</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role</w:t>
      </w:r>
      <w:proofErr w:type="gramEnd"/>
      <w:r w:rsidRPr="00223AA9">
        <w:rPr>
          <w:rFonts w:cs="Arial"/>
          <w:color w:val="000000"/>
          <w:sz w:val="19"/>
          <w:szCs w:val="19"/>
          <w:lang w:val="en-GB"/>
        </w:rPr>
        <w:t>,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salaries</w:t>
      </w:r>
      <w:proofErr w:type="gramEnd"/>
      <w:r w:rsidRPr="00223AA9">
        <w:rPr>
          <w:rFonts w:cs="Arial"/>
          <w:color w:val="000000"/>
          <w:sz w:val="19"/>
          <w:szCs w:val="19"/>
          <w:lang w:val="en-GB"/>
        </w:rPr>
        <w:t xml:space="preserve"> of staff, 24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sanctions</w:t>
      </w:r>
      <w:proofErr w:type="gramEnd"/>
      <w:r w:rsidRPr="00223AA9">
        <w:rPr>
          <w:rFonts w:cs="Arial"/>
          <w:color w:val="000000"/>
          <w:sz w:val="19"/>
          <w:szCs w:val="19"/>
          <w:lang w:val="en-GB"/>
        </w:rPr>
        <w:t>, 5, 6, 13, 16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section</w:t>
      </w:r>
      <w:proofErr w:type="gramEnd"/>
      <w:r w:rsidRPr="00223AA9">
        <w:rPr>
          <w:rFonts w:cs="Arial"/>
          <w:color w:val="000000"/>
          <w:sz w:val="19"/>
          <w:szCs w:val="19"/>
          <w:lang w:val="en-GB"/>
        </w:rPr>
        <w:t xml:space="preserve"> 91 decisions </w:t>
      </w:r>
      <w:r w:rsidRPr="00223AA9">
        <w:rPr>
          <w:rFonts w:cs="Arial"/>
          <w:i/>
          <w:iCs/>
          <w:color w:val="000000"/>
          <w:sz w:val="19"/>
          <w:szCs w:val="19"/>
          <w:lang w:val="en-GB"/>
        </w:rPr>
        <w:t>see</w:t>
      </w:r>
      <w:r w:rsidRPr="00223AA9">
        <w:rPr>
          <w:rFonts w:cs="Arial"/>
          <w:color w:val="000000"/>
          <w:sz w:val="19"/>
          <w:szCs w:val="19"/>
          <w:lang w:val="en-GB"/>
        </w:rPr>
        <w:t xml:space="preserve"> no further action </w:t>
      </w:r>
      <w:r w:rsidRPr="00223AA9">
        <w:rPr>
          <w:rFonts w:cs="Arial"/>
          <w:color w:val="000000"/>
          <w:sz w:val="19"/>
          <w:szCs w:val="19"/>
          <w:lang w:val="en-GB"/>
        </w:rPr>
        <w:tab/>
        <w:t>(section 91) decisions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section</w:t>
      </w:r>
      <w:proofErr w:type="gramEnd"/>
      <w:r w:rsidRPr="00223AA9">
        <w:rPr>
          <w:rFonts w:cs="Arial"/>
          <w:color w:val="000000"/>
          <w:sz w:val="19"/>
          <w:szCs w:val="19"/>
          <w:lang w:val="en-GB"/>
        </w:rPr>
        <w:t xml:space="preserve"> 92 agreements </w:t>
      </w:r>
      <w:r w:rsidRPr="00223AA9">
        <w:rPr>
          <w:rFonts w:cs="Arial"/>
          <w:i/>
          <w:iCs/>
          <w:color w:val="000000"/>
          <w:sz w:val="19"/>
          <w:szCs w:val="19"/>
          <w:lang w:val="en-GB"/>
        </w:rPr>
        <w:t>see</w:t>
      </w:r>
      <w:r w:rsidRPr="00223AA9">
        <w:rPr>
          <w:rFonts w:cs="Arial"/>
          <w:color w:val="000000"/>
          <w:sz w:val="19"/>
          <w:szCs w:val="19"/>
          <w:lang w:val="en-GB"/>
        </w:rPr>
        <w:t xml:space="preserve"> negot</w:t>
      </w:r>
      <w:r w:rsidR="00223AA9">
        <w:rPr>
          <w:rFonts w:cs="Arial"/>
          <w:color w:val="000000"/>
          <w:sz w:val="19"/>
          <w:szCs w:val="19"/>
          <w:lang w:val="en-GB"/>
        </w:rPr>
        <w:t xml:space="preserve">iated </w:t>
      </w:r>
      <w:r w:rsidRPr="00223AA9">
        <w:rPr>
          <w:rFonts w:cs="Arial"/>
          <w:color w:val="000000"/>
          <w:sz w:val="19"/>
          <w:szCs w:val="19"/>
          <w:lang w:val="en-GB"/>
        </w:rPr>
        <w:t>(section 92) agreements</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senior</w:t>
      </w:r>
      <w:proofErr w:type="gramEnd"/>
      <w:r w:rsidRPr="00223AA9">
        <w:rPr>
          <w:rFonts w:cs="Arial"/>
          <w:color w:val="000000"/>
          <w:sz w:val="19"/>
          <w:szCs w:val="19"/>
          <w:lang w:val="en-GB"/>
        </w:rPr>
        <w:t xml:space="preserve"> executive remuneration, 72–73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senior</w:t>
      </w:r>
      <w:proofErr w:type="gramEnd"/>
      <w:r w:rsidRPr="00223AA9">
        <w:rPr>
          <w:rFonts w:cs="Arial"/>
          <w:color w:val="000000"/>
          <w:sz w:val="19"/>
          <w:szCs w:val="19"/>
          <w:lang w:val="en-GB"/>
        </w:rPr>
        <w:t xml:space="preserve"> leaders, 19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servicing</w:t>
      </w:r>
      <w:proofErr w:type="gramEnd"/>
      <w:r w:rsidRPr="00223AA9">
        <w:rPr>
          <w:rFonts w:cs="Arial"/>
          <w:color w:val="000000"/>
          <w:sz w:val="19"/>
          <w:szCs w:val="19"/>
          <w:lang w:val="en-GB"/>
        </w:rPr>
        <w:t xml:space="preserve"> patterns, health practitioner, 11–12</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shared</w:t>
      </w:r>
      <w:proofErr w:type="gramEnd"/>
      <w:r w:rsidRPr="00223AA9">
        <w:rPr>
          <w:rFonts w:cs="Arial"/>
          <w:color w:val="000000"/>
          <w:sz w:val="19"/>
          <w:szCs w:val="19"/>
          <w:lang w:val="en-GB"/>
        </w:rPr>
        <w:t xml:space="preserve"> services, 19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staff</w:t>
      </w:r>
      <w:proofErr w:type="gramEnd"/>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classifications</w:t>
      </w:r>
      <w:proofErr w:type="gramEnd"/>
      <w:r w:rsidRPr="00223AA9">
        <w:rPr>
          <w:rFonts w:cs="Arial"/>
          <w:color w:val="000000"/>
          <w:sz w:val="19"/>
          <w:szCs w:val="19"/>
          <w:lang w:val="en-GB"/>
        </w:rPr>
        <w:t>,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diversity</w:t>
      </w:r>
      <w:proofErr w:type="gramEnd"/>
      <w:r w:rsidRPr="00223AA9">
        <w:rPr>
          <w:rFonts w:cs="Arial"/>
          <w:color w:val="000000"/>
          <w:sz w:val="19"/>
          <w:szCs w:val="19"/>
          <w:lang w:val="en-GB"/>
        </w:rPr>
        <w:t>,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full</w:t>
      </w:r>
      <w:proofErr w:type="gramEnd"/>
      <w:r w:rsidRPr="00223AA9">
        <w:rPr>
          <w:rFonts w:cs="Arial"/>
          <w:color w:val="000000"/>
          <w:sz w:val="19"/>
          <w:szCs w:val="19"/>
          <w:lang w:val="en-GB"/>
        </w:rPr>
        <w:t>-time and part-time,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gender</w:t>
      </w:r>
      <w:proofErr w:type="gramEnd"/>
      <w:r w:rsidRPr="00223AA9">
        <w:rPr>
          <w:rFonts w:cs="Arial"/>
          <w:color w:val="000000"/>
          <w:sz w:val="19"/>
          <w:szCs w:val="19"/>
          <w:lang w:val="en-GB"/>
        </w:rPr>
        <w:t>,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non</w:t>
      </w:r>
      <w:proofErr w:type="gramEnd"/>
      <w:r w:rsidRPr="00223AA9">
        <w:rPr>
          <w:rFonts w:cs="Arial"/>
          <w:color w:val="000000"/>
          <w:sz w:val="19"/>
          <w:szCs w:val="19"/>
          <w:lang w:val="en-GB"/>
        </w:rPr>
        <w:t>-salary benefits, 24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number</w:t>
      </w:r>
      <w:proofErr w:type="gramEnd"/>
      <w:r w:rsidRPr="00223AA9">
        <w:rPr>
          <w:rFonts w:cs="Arial"/>
          <w:color w:val="000000"/>
          <w:sz w:val="19"/>
          <w:szCs w:val="19"/>
          <w:lang w:val="en-GB"/>
        </w:rPr>
        <w:t>,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profile</w:t>
      </w:r>
      <w:proofErr w:type="gramEnd"/>
      <w:r w:rsidRPr="00223AA9">
        <w:rPr>
          <w:rFonts w:cs="Arial"/>
          <w:color w:val="000000"/>
          <w:sz w:val="19"/>
          <w:szCs w:val="19"/>
          <w:lang w:val="en-GB"/>
        </w:rPr>
        <w:t>, 23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remuneration</w:t>
      </w:r>
      <w:proofErr w:type="gramEnd"/>
      <w:r w:rsidRPr="00223AA9">
        <w:rPr>
          <w:rFonts w:cs="Arial"/>
          <w:color w:val="000000"/>
          <w:sz w:val="19"/>
          <w:szCs w:val="19"/>
          <w:lang w:val="en-GB"/>
        </w:rPr>
        <w:t>, 24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surveys</w:t>
      </w:r>
      <w:proofErr w:type="gramEnd"/>
      <w:r w:rsidRPr="00223AA9">
        <w:rPr>
          <w:rFonts w:cs="Arial"/>
          <w:color w:val="000000"/>
          <w:sz w:val="19"/>
          <w:szCs w:val="19"/>
          <w:lang w:val="en-GB"/>
        </w:rPr>
        <w:t>, 17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training</w:t>
      </w:r>
      <w:proofErr w:type="gramEnd"/>
      <w:r w:rsidRPr="00223AA9">
        <w:rPr>
          <w:rFonts w:cs="Arial"/>
          <w:color w:val="000000"/>
          <w:sz w:val="19"/>
          <w:szCs w:val="19"/>
          <w:lang w:val="en-GB"/>
        </w:rPr>
        <w:t xml:space="preserve"> and development, 25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stakeholders</w:t>
      </w:r>
      <w:proofErr w:type="gramEnd"/>
      <w:r w:rsidRPr="00223AA9">
        <w:rPr>
          <w:rFonts w:cs="Arial"/>
          <w:color w:val="000000"/>
          <w:sz w:val="19"/>
          <w:szCs w:val="19"/>
          <w:lang w:val="en-GB"/>
        </w:rPr>
        <w:t>, 1, 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subclinical</w:t>
      </w:r>
      <w:proofErr w:type="gramEnd"/>
      <w:r w:rsidRPr="00223AA9">
        <w:rPr>
          <w:rFonts w:cs="Arial"/>
          <w:color w:val="000000"/>
          <w:sz w:val="19"/>
          <w:szCs w:val="19"/>
          <w:lang w:val="en-GB"/>
        </w:rPr>
        <w:t xml:space="preserve"> hypothyroidism, 14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surveys</w:t>
      </w:r>
      <w:proofErr w:type="gramEnd"/>
      <w:r w:rsidRPr="00223AA9">
        <w:rPr>
          <w:rFonts w:cs="Arial"/>
          <w:color w:val="000000"/>
          <w:sz w:val="19"/>
          <w:szCs w:val="19"/>
          <w:lang w:val="en-GB"/>
        </w:rPr>
        <w:t>, staff, 17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suspensions</w:t>
      </w:r>
      <w:proofErr w:type="gramEnd"/>
      <w:r w:rsidRPr="00223AA9">
        <w:rPr>
          <w:rFonts w:cs="Arial"/>
          <w:color w:val="000000"/>
          <w:sz w:val="19"/>
          <w:szCs w:val="19"/>
          <w:lang w:val="en-GB"/>
        </w:rPr>
        <w:t>, 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T</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team</w:t>
      </w:r>
      <w:proofErr w:type="gramEnd"/>
      <w:r w:rsidRPr="00223AA9">
        <w:rPr>
          <w:rFonts w:cs="Arial"/>
          <w:color w:val="000000"/>
          <w:sz w:val="19"/>
          <w:szCs w:val="19"/>
          <w:lang w:val="en-GB"/>
        </w:rPr>
        <w:t xml:space="preserve"> care arrangements, 10–11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telephone</w:t>
      </w:r>
      <w:proofErr w:type="gramEnd"/>
      <w:r w:rsidRPr="00223AA9">
        <w:rPr>
          <w:rFonts w:cs="Arial"/>
          <w:color w:val="000000"/>
          <w:sz w:val="19"/>
          <w:szCs w:val="19"/>
          <w:lang w:val="en-GB"/>
        </w:rPr>
        <w:t xml:space="preserve"> number, iii</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threats</w:t>
      </w:r>
      <w:proofErr w:type="gramEnd"/>
      <w:r w:rsidRPr="00223AA9">
        <w:rPr>
          <w:rFonts w:cs="Arial"/>
          <w:color w:val="000000"/>
          <w:sz w:val="19"/>
          <w:szCs w:val="19"/>
          <w:lang w:val="en-GB"/>
        </w:rPr>
        <w:t xml:space="preserve"> to life or health of patients, 8, 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thyroid</w:t>
      </w:r>
      <w:proofErr w:type="gramEnd"/>
      <w:r w:rsidRPr="00223AA9">
        <w:rPr>
          <w:rFonts w:cs="Arial"/>
          <w:color w:val="000000"/>
          <w:sz w:val="19"/>
          <w:szCs w:val="19"/>
          <w:lang w:val="en-GB"/>
        </w:rPr>
        <w:t xml:space="preserve"> function tests, 14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timeframes</w:t>
      </w:r>
      <w:proofErr w:type="gramEnd"/>
      <w:r w:rsidRPr="00223AA9">
        <w:rPr>
          <w:rFonts w:cs="Arial"/>
          <w:color w:val="000000"/>
          <w:sz w:val="19"/>
          <w:szCs w:val="19"/>
          <w:lang w:val="en-GB"/>
        </w:rPr>
        <w:t xml:space="preserve"> for finalisation,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committee</w:t>
      </w:r>
      <w:proofErr w:type="gramEnd"/>
      <w:r w:rsidRPr="00223AA9">
        <w:rPr>
          <w:rFonts w:cs="Arial"/>
          <w:color w:val="000000"/>
          <w:sz w:val="19"/>
          <w:szCs w:val="19"/>
          <w:lang w:val="en-GB"/>
        </w:rPr>
        <w:t xml:space="preserve"> reports,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determinations</w:t>
      </w:r>
      <w:proofErr w:type="gramEnd"/>
      <w:r w:rsidRPr="00223AA9">
        <w:rPr>
          <w:rFonts w:cs="Arial"/>
          <w:color w:val="000000"/>
          <w:sz w:val="19"/>
          <w:szCs w:val="19"/>
          <w:lang w:val="en-GB"/>
        </w:rPr>
        <w:t>, 6,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negotiated</w:t>
      </w:r>
      <w:proofErr w:type="gramEnd"/>
      <w:r w:rsidRPr="00223AA9">
        <w:rPr>
          <w:rFonts w:cs="Arial"/>
          <w:color w:val="000000"/>
          <w:sz w:val="19"/>
          <w:szCs w:val="19"/>
          <w:lang w:val="en-GB"/>
        </w:rPr>
        <w:t xml:space="preserve"> agreements,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pacing w:val="-4"/>
          <w:sz w:val="19"/>
          <w:szCs w:val="19"/>
          <w:lang w:val="en-GB"/>
        </w:rPr>
        <w:tab/>
      </w:r>
      <w:proofErr w:type="gramStart"/>
      <w:r w:rsidRPr="00223AA9">
        <w:rPr>
          <w:rFonts w:cs="Arial"/>
          <w:color w:val="000000"/>
          <w:spacing w:val="-4"/>
          <w:sz w:val="19"/>
          <w:szCs w:val="19"/>
          <w:lang w:val="en-GB"/>
        </w:rPr>
        <w:t>no</w:t>
      </w:r>
      <w:proofErr w:type="gramEnd"/>
      <w:r w:rsidRPr="00223AA9">
        <w:rPr>
          <w:rFonts w:cs="Arial"/>
          <w:color w:val="000000"/>
          <w:spacing w:val="-4"/>
          <w:sz w:val="19"/>
          <w:szCs w:val="19"/>
          <w:lang w:val="en-GB"/>
        </w:rPr>
        <w:t xml:space="preserve"> further action (section 91) decisions, 5, 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training</w:t>
      </w:r>
      <w:proofErr w:type="gramEnd"/>
      <w:r w:rsidRPr="00223AA9">
        <w:rPr>
          <w:rFonts w:cs="Arial"/>
          <w:color w:val="000000"/>
          <w:sz w:val="19"/>
          <w:szCs w:val="19"/>
          <w:lang w:val="en-GB"/>
        </w:rPr>
        <w:t xml:space="preserve"> and development</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t>Panel members, vii–viii</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ab/>
      </w:r>
      <w:proofErr w:type="gramStart"/>
      <w:r w:rsidRPr="00223AA9">
        <w:rPr>
          <w:rFonts w:cs="Arial"/>
          <w:color w:val="000000"/>
          <w:sz w:val="19"/>
          <w:szCs w:val="19"/>
          <w:lang w:val="en-GB"/>
        </w:rPr>
        <w:t>staff</w:t>
      </w:r>
      <w:proofErr w:type="gramEnd"/>
      <w:r w:rsidRPr="00223AA9">
        <w:rPr>
          <w:rFonts w:cs="Arial"/>
          <w:color w:val="000000"/>
          <w:sz w:val="19"/>
          <w:szCs w:val="19"/>
          <w:lang w:val="en-GB"/>
        </w:rPr>
        <w:t>, 25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color w:val="000000"/>
          <w:sz w:val="19"/>
          <w:szCs w:val="19"/>
          <w:lang w:val="en-GB"/>
        </w:rPr>
        <w:t>Training Needs Analysis, staff, 25</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U</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unorthodox</w:t>
      </w:r>
      <w:proofErr w:type="gramEnd"/>
      <w:r w:rsidRPr="00223AA9">
        <w:rPr>
          <w:rFonts w:cs="Arial"/>
          <w:color w:val="000000"/>
          <w:sz w:val="19"/>
          <w:szCs w:val="19"/>
          <w:lang w:val="en-GB"/>
        </w:rPr>
        <w:t xml:space="preserve"> practice, 12–14</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unusual</w:t>
      </w:r>
      <w:proofErr w:type="gramEnd"/>
      <w:r w:rsidRPr="00223AA9">
        <w:rPr>
          <w:rFonts w:cs="Arial"/>
          <w:color w:val="000000"/>
          <w:sz w:val="19"/>
          <w:szCs w:val="19"/>
          <w:lang w:val="en-GB"/>
        </w:rPr>
        <w:t xml:space="preserve"> treatments, 13</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V</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vaccinations</w:t>
      </w:r>
      <w:proofErr w:type="gramEnd"/>
      <w:r w:rsidRPr="00223AA9">
        <w:rPr>
          <w:rFonts w:cs="Arial"/>
          <w:color w:val="000000"/>
          <w:sz w:val="19"/>
          <w:szCs w:val="19"/>
          <w:lang w:val="en-GB"/>
        </w:rPr>
        <w:t>, staff, 26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values</w:t>
      </w:r>
      <w:proofErr w:type="gramEnd"/>
      <w:r w:rsidRPr="00223AA9">
        <w:rPr>
          <w:rFonts w:cs="Arial"/>
          <w:color w:val="000000"/>
          <w:sz w:val="19"/>
          <w:szCs w:val="19"/>
          <w:lang w:val="en-GB"/>
        </w:rPr>
        <w:t>, 1</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r w:rsidRPr="00223AA9">
        <w:rPr>
          <w:rFonts w:cs="Arial"/>
          <w:b/>
          <w:bCs/>
          <w:color w:val="000000"/>
          <w:sz w:val="19"/>
          <w:szCs w:val="19"/>
          <w:lang w:val="en-GB"/>
        </w:rPr>
        <w:t>W</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website</w:t>
      </w:r>
      <w:proofErr w:type="gramEnd"/>
      <w:r w:rsidRPr="00223AA9">
        <w:rPr>
          <w:rFonts w:cs="Arial"/>
          <w:color w:val="000000"/>
          <w:sz w:val="19"/>
          <w:szCs w:val="19"/>
          <w:lang w:val="en-GB"/>
        </w:rPr>
        <w:t>, iii, 29</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work</w:t>
      </w:r>
      <w:proofErr w:type="gramEnd"/>
      <w:r w:rsidRPr="00223AA9">
        <w:rPr>
          <w:rFonts w:cs="Arial"/>
          <w:color w:val="000000"/>
          <w:sz w:val="19"/>
          <w:szCs w:val="19"/>
          <w:lang w:val="en-GB"/>
        </w:rPr>
        <w:t xml:space="preserve"> health and safety, 25–26</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workforce</w:t>
      </w:r>
      <w:proofErr w:type="gramEnd"/>
      <w:r w:rsidRPr="00223AA9">
        <w:rPr>
          <w:rFonts w:cs="Arial"/>
          <w:color w:val="000000"/>
          <w:sz w:val="19"/>
          <w:szCs w:val="19"/>
          <w:lang w:val="en-GB"/>
        </w:rPr>
        <w:t xml:space="preserve"> </w:t>
      </w:r>
      <w:r w:rsidRPr="00223AA9">
        <w:rPr>
          <w:rFonts w:cs="Arial"/>
          <w:i/>
          <w:iCs/>
          <w:color w:val="000000"/>
          <w:sz w:val="19"/>
          <w:szCs w:val="19"/>
          <w:lang w:val="en-GB"/>
        </w:rPr>
        <w:t>see</w:t>
      </w:r>
      <w:r w:rsidRPr="00223AA9">
        <w:rPr>
          <w:rFonts w:cs="Arial"/>
          <w:color w:val="000000"/>
          <w:sz w:val="19"/>
          <w:szCs w:val="19"/>
          <w:lang w:val="en-GB"/>
        </w:rPr>
        <w:t xml:space="preserve"> staff</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000000"/>
          <w:sz w:val="19"/>
          <w:szCs w:val="19"/>
          <w:lang w:val="en-GB"/>
        </w:rPr>
      </w:pPr>
      <w:proofErr w:type="gramStart"/>
      <w:r w:rsidRPr="00223AA9">
        <w:rPr>
          <w:rFonts w:cs="Arial"/>
          <w:color w:val="000000"/>
          <w:sz w:val="19"/>
          <w:szCs w:val="19"/>
          <w:lang w:val="en-GB"/>
        </w:rPr>
        <w:t>workshops</w:t>
      </w:r>
      <w:proofErr w:type="gramEnd"/>
      <w:r w:rsidRPr="00223AA9">
        <w:rPr>
          <w:rFonts w:cs="Arial"/>
          <w:color w:val="000000"/>
          <w:sz w:val="19"/>
          <w:szCs w:val="19"/>
          <w:lang w:val="en-GB"/>
        </w:rPr>
        <w:t xml:space="preserve"> and focus groups, staff, 17</w:t>
      </w:r>
    </w:p>
    <w:p w:rsidR="00FA6C41" w:rsidRPr="00223AA9" w:rsidRDefault="00FA6C41" w:rsidP="00223AA9">
      <w:pPr>
        <w:widowControl w:val="0"/>
        <w:tabs>
          <w:tab w:val="left" w:pos="227"/>
        </w:tabs>
        <w:suppressAutoHyphens/>
        <w:autoSpaceDE w:val="0"/>
        <w:autoSpaceDN w:val="0"/>
        <w:adjustRightInd w:val="0"/>
        <w:spacing w:line="240" w:lineRule="auto"/>
        <w:textAlignment w:val="center"/>
        <w:rPr>
          <w:rFonts w:cs="Arial"/>
          <w:color w:val="1C6B91"/>
          <w:spacing w:val="-1"/>
          <w:sz w:val="20"/>
          <w:lang w:val="en-GB"/>
        </w:rPr>
      </w:pPr>
      <w:proofErr w:type="gramStart"/>
      <w:r w:rsidRPr="00223AA9">
        <w:rPr>
          <w:rFonts w:cs="Arial"/>
          <w:color w:val="000000"/>
          <w:sz w:val="19"/>
          <w:szCs w:val="19"/>
          <w:lang w:val="en-GB"/>
        </w:rPr>
        <w:t>workstation</w:t>
      </w:r>
      <w:proofErr w:type="gramEnd"/>
      <w:r w:rsidRPr="00223AA9">
        <w:rPr>
          <w:rFonts w:cs="Arial"/>
          <w:color w:val="000000"/>
          <w:sz w:val="19"/>
          <w:szCs w:val="19"/>
          <w:lang w:val="en-GB"/>
        </w:rPr>
        <w:t xml:space="preserve"> assessments, staff, 26</w:t>
      </w:r>
    </w:p>
    <w:p w:rsidR="00555691" w:rsidRPr="00223AA9" w:rsidRDefault="00555691" w:rsidP="00223AA9">
      <w:pPr>
        <w:spacing w:line="240" w:lineRule="auto"/>
        <w:rPr>
          <w:rFonts w:cs="Arial"/>
        </w:rPr>
      </w:pPr>
    </w:p>
    <w:sectPr w:rsidR="00555691" w:rsidRPr="00223AA9" w:rsidSect="001E2C73">
      <w:pgSz w:w="11906" w:h="16838"/>
      <w:pgMar w:top="568" w:right="720" w:bottom="567" w:left="720" w:footer="284" w:gutter="0"/>
      <w:noEndnote/>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Cambria-Bold">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 w:name="VistaSansBold">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SamoSansPro-Light">
    <w:altName w:val="Samo Sans Pro Light"/>
    <w:panose1 w:val="00000000000000000000"/>
    <w:charset w:val="4D"/>
    <w:family w:val="auto"/>
    <w:notTrueType/>
    <w:pitch w:val="default"/>
    <w:sig w:usb0="00000003" w:usb1="00000000" w:usb2="00000000" w:usb3="00000000" w:csb0="00000001" w:csb1="00000000"/>
  </w:font>
  <w:font w:name="SamoSansPro-Medium">
    <w:altName w:val="Samo Sans Pro Medium"/>
    <w:panose1 w:val="00000000000000000000"/>
    <w:charset w:val="4D"/>
    <w:family w:val="auto"/>
    <w:notTrueType/>
    <w:pitch w:val="default"/>
    <w:sig w:usb0="00000003" w:usb1="00000000" w:usb2="00000000" w:usb3="00000000" w:csb0="00000001" w:csb1="00000000"/>
  </w:font>
  <w:font w:name="SamoSansPro-Regular">
    <w:altName w:val="Samo Sans Pro Regular"/>
    <w:panose1 w:val="00000000000000000000"/>
    <w:charset w:val="4D"/>
    <w:family w:val="auto"/>
    <w:notTrueType/>
    <w:pitch w:val="default"/>
    <w:sig w:usb0="00000003" w:usb1="00000000" w:usb2="00000000" w:usb3="00000000" w:csb0="00000001" w:csb1="00000000"/>
  </w:font>
  <w:font w:name="SamoSansPro-LightItalic">
    <w:altName w:val="Samo Sans Pro 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SamoSansPro-Bold">
    <w:altName w:val="Samo Sans Pro Regular"/>
    <w:panose1 w:val="00000000000000000000"/>
    <w:charset w:val="4D"/>
    <w:family w:val="auto"/>
    <w:notTrueType/>
    <w:pitch w:val="default"/>
    <w:sig w:usb0="00000003" w:usb1="00000000" w:usb2="00000000" w:usb3="00000000" w:csb0="00000001" w:csb1="00000000"/>
  </w:font>
  <w:font w:name="SamoSansPro-MediumItalic">
    <w:altName w:val="Samo Sans Pro Medium Italic"/>
    <w:panose1 w:val="00000000000000000000"/>
    <w:charset w:val="4D"/>
    <w:family w:val="auto"/>
    <w:notTrueType/>
    <w:pitch w:val="default"/>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Narrow">
    <w:altName w:val="Arial Narrow"/>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amoSansPro-Italic">
    <w:altName w:val="Samo Sans Pro Regular"/>
    <w:panose1 w:val="00000000000000000000"/>
    <w:charset w:val="4D"/>
    <w:family w:val="auto"/>
    <w:notTrueType/>
    <w:pitch w:val="default"/>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96F" w:rsidRPr="00A032AA" w:rsidRDefault="0071096F" w:rsidP="00A032AA">
    <w:pPr>
      <w:pStyle w:val="Footer"/>
      <w:rPr>
        <w:sz w:val="20"/>
      </w:rPr>
    </w:pPr>
    <w:r>
      <w:rPr>
        <w:sz w:val="20"/>
      </w:rPr>
      <w:t xml:space="preserve">Professional Service Review </w:t>
    </w:r>
    <w:r w:rsidRPr="00A032AA">
      <w:rPr>
        <w:b/>
        <w:sz w:val="20"/>
      </w:rPr>
      <w:t>Annual Report 2013–14</w:t>
    </w:r>
    <w:r w:rsidRPr="00A032AA">
      <w:rPr>
        <w:sz w:val="20"/>
      </w:rPr>
      <w:tab/>
    </w:r>
    <w:r w:rsidRPr="00A032AA">
      <w:rPr>
        <w:sz w:val="20"/>
      </w:rPr>
      <w:tab/>
    </w:r>
    <w:r w:rsidRPr="00A032AA">
      <w:rPr>
        <w:sz w:val="20"/>
      </w:rPr>
      <w:tab/>
    </w:r>
    <w:r w:rsidRPr="00A032AA">
      <w:rPr>
        <w:rStyle w:val="PageNumber"/>
        <w:sz w:val="20"/>
      </w:rPr>
      <w:fldChar w:fldCharType="begin"/>
    </w:r>
    <w:r w:rsidRPr="00A032AA">
      <w:rPr>
        <w:rStyle w:val="PageNumber"/>
        <w:sz w:val="20"/>
      </w:rPr>
      <w:instrText xml:space="preserve"> PAGE </w:instrText>
    </w:r>
    <w:r w:rsidRPr="00A032AA">
      <w:rPr>
        <w:rStyle w:val="PageNumber"/>
        <w:sz w:val="20"/>
      </w:rPr>
      <w:fldChar w:fldCharType="separate"/>
    </w:r>
    <w:r w:rsidR="00FD6893">
      <w:rPr>
        <w:rStyle w:val="PageNumber"/>
        <w:noProof/>
        <w:sz w:val="20"/>
      </w:rPr>
      <w:t>97</w:t>
    </w:r>
    <w:r w:rsidRPr="00A032AA">
      <w:rPr>
        <w:rStyle w:val="PageNumber"/>
        <w:sz w:val="20"/>
      </w:rPr>
      <w:fldChar w:fldCharType="end"/>
    </w:r>
  </w:p>
  <w:p w:rsidR="0071096F" w:rsidRDefault="0071096F"/>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358F5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EBA1122"/>
    <w:lvl w:ilvl="0">
      <w:start w:val="1"/>
      <w:numFmt w:val="decimal"/>
      <w:lvlText w:val="%1."/>
      <w:lvlJc w:val="left"/>
      <w:pPr>
        <w:tabs>
          <w:tab w:val="num" w:pos="1492"/>
        </w:tabs>
        <w:ind w:left="1492" w:hanging="360"/>
      </w:pPr>
    </w:lvl>
  </w:abstractNum>
  <w:abstractNum w:abstractNumId="2">
    <w:nsid w:val="FFFFFF7D"/>
    <w:multiLevelType w:val="singleLevel"/>
    <w:tmpl w:val="627A670C"/>
    <w:lvl w:ilvl="0">
      <w:start w:val="1"/>
      <w:numFmt w:val="decimal"/>
      <w:lvlText w:val="%1."/>
      <w:lvlJc w:val="left"/>
      <w:pPr>
        <w:tabs>
          <w:tab w:val="num" w:pos="1209"/>
        </w:tabs>
        <w:ind w:left="1209" w:hanging="360"/>
      </w:pPr>
    </w:lvl>
  </w:abstractNum>
  <w:abstractNum w:abstractNumId="3">
    <w:nsid w:val="FFFFFF7E"/>
    <w:multiLevelType w:val="singleLevel"/>
    <w:tmpl w:val="13CAAAEA"/>
    <w:lvl w:ilvl="0">
      <w:start w:val="1"/>
      <w:numFmt w:val="decimal"/>
      <w:lvlText w:val="%1."/>
      <w:lvlJc w:val="left"/>
      <w:pPr>
        <w:tabs>
          <w:tab w:val="num" w:pos="926"/>
        </w:tabs>
        <w:ind w:left="926" w:hanging="360"/>
      </w:pPr>
    </w:lvl>
  </w:abstractNum>
  <w:abstractNum w:abstractNumId="4">
    <w:nsid w:val="FFFFFF7F"/>
    <w:multiLevelType w:val="singleLevel"/>
    <w:tmpl w:val="F8881EAC"/>
    <w:lvl w:ilvl="0">
      <w:start w:val="1"/>
      <w:numFmt w:val="decimal"/>
      <w:lvlText w:val="%1."/>
      <w:lvlJc w:val="left"/>
      <w:pPr>
        <w:tabs>
          <w:tab w:val="num" w:pos="643"/>
        </w:tabs>
        <w:ind w:left="643" w:hanging="360"/>
      </w:pPr>
    </w:lvl>
  </w:abstractNum>
  <w:abstractNum w:abstractNumId="5">
    <w:nsid w:val="FFFFFF80"/>
    <w:multiLevelType w:val="singleLevel"/>
    <w:tmpl w:val="8A4C053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59617E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66AF92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3E8C5D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E7C12BC"/>
    <w:lvl w:ilvl="0">
      <w:start w:val="1"/>
      <w:numFmt w:val="decimal"/>
      <w:lvlText w:val="%1."/>
      <w:lvlJc w:val="left"/>
      <w:pPr>
        <w:tabs>
          <w:tab w:val="num" w:pos="360"/>
        </w:tabs>
        <w:ind w:left="360" w:hanging="360"/>
      </w:pPr>
    </w:lvl>
  </w:abstractNum>
  <w:abstractNum w:abstractNumId="10">
    <w:nsid w:val="FFFFFF89"/>
    <w:multiLevelType w:val="singleLevel"/>
    <w:tmpl w:val="8DA0A3D6"/>
    <w:lvl w:ilvl="0">
      <w:start w:val="1"/>
      <w:numFmt w:val="bullet"/>
      <w:lvlText w:val=""/>
      <w:lvlJc w:val="left"/>
      <w:pPr>
        <w:tabs>
          <w:tab w:val="num" w:pos="360"/>
        </w:tabs>
        <w:ind w:left="360" w:hanging="360"/>
      </w:pPr>
      <w:rPr>
        <w:rFonts w:ascii="Symbol" w:hAnsi="Symbol" w:hint="default"/>
      </w:rPr>
    </w:lvl>
  </w:abstractNum>
  <w:abstractNum w:abstractNumId="11">
    <w:nsid w:val="04AC632E"/>
    <w:multiLevelType w:val="hybridMultilevel"/>
    <w:tmpl w:val="30DCC9DA"/>
    <w:lvl w:ilvl="0" w:tplc="924C0AF0">
      <w:start w:val="1"/>
      <w:numFmt w:val="bullet"/>
      <w:pStyle w:val="CharacterStyle1"/>
      <w:lvlText w:val=""/>
      <w:lvlJc w:val="left"/>
      <w:pPr>
        <w:tabs>
          <w:tab w:val="num" w:pos="360"/>
        </w:tabs>
        <w:ind w:left="360" w:hanging="360"/>
      </w:pPr>
      <w:rPr>
        <w:rFonts w:ascii="Symbol" w:hAnsi="Symbol" w:hint="default"/>
        <w:color w:val="DBE5F1" w:themeColor="accent1" w:themeTint="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A47070"/>
    <w:multiLevelType w:val="hybridMultilevel"/>
    <w:tmpl w:val="78E2F00A"/>
    <w:lvl w:ilvl="0" w:tplc="42982094">
      <w:start w:val="1"/>
      <w:numFmt w:val="bullet"/>
      <w:lvlText w:val=""/>
      <w:lvlJc w:val="left"/>
      <w:pPr>
        <w:ind w:left="720" w:hanging="360"/>
      </w:pPr>
      <w:rPr>
        <w:rFonts w:ascii="Symbol" w:hAnsi="Symbol" w:hint="default"/>
        <w:color w:val="DBE5F1" w:themeColor="accent1" w:themeTint="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477A30"/>
    <w:multiLevelType w:val="hybridMultilevel"/>
    <w:tmpl w:val="9DC04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B204F59"/>
    <w:multiLevelType w:val="multilevel"/>
    <w:tmpl w:val="81806FB2"/>
    <w:lvl w:ilvl="0">
      <w:start w:val="1"/>
      <w:numFmt w:val="bullet"/>
      <w:lvlText w:val=""/>
      <w:lvlJc w:val="left"/>
      <w:pPr>
        <w:tabs>
          <w:tab w:val="num" w:pos="360"/>
        </w:tabs>
        <w:ind w:left="360" w:hanging="360"/>
      </w:pPr>
      <w:rPr>
        <w:rFonts w:ascii="Symbol" w:hAnsi="Symbol" w:hint="default"/>
        <w:color w:val="DBE5F1" w:themeColor="accent1" w:themeTint="3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1F56FB5"/>
    <w:multiLevelType w:val="hybridMultilevel"/>
    <w:tmpl w:val="87E86C8C"/>
    <w:lvl w:ilvl="0" w:tplc="C9B60702">
      <w:start w:val="1"/>
      <w:numFmt w:val="bullet"/>
      <w:lvlText w:val=""/>
      <w:lvlJc w:val="left"/>
      <w:pPr>
        <w:tabs>
          <w:tab w:val="num" w:pos="360"/>
        </w:tabs>
        <w:ind w:left="360" w:hanging="360"/>
      </w:pPr>
      <w:rPr>
        <w:rFonts w:ascii="Symbol" w:hAnsi="Symbol" w:hint="default"/>
        <w:color w:val="DBE5F1" w:themeColor="accent1" w:themeTint="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413ED1"/>
    <w:multiLevelType w:val="multilevel"/>
    <w:tmpl w:val="FF7003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F774714"/>
    <w:multiLevelType w:val="hybridMultilevel"/>
    <w:tmpl w:val="20EEC5A2"/>
    <w:lvl w:ilvl="0" w:tplc="03D8D2E4">
      <w:start w:val="1"/>
      <w:numFmt w:val="bullet"/>
      <w:pStyle w:val="Lis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4966AE"/>
    <w:multiLevelType w:val="hybridMultilevel"/>
    <w:tmpl w:val="F3C21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2282E24"/>
    <w:multiLevelType w:val="hybridMultilevel"/>
    <w:tmpl w:val="9DC04C10"/>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2434FEA"/>
    <w:multiLevelType w:val="hybridMultilevel"/>
    <w:tmpl w:val="FF70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014627"/>
    <w:multiLevelType w:val="hybridMultilevel"/>
    <w:tmpl w:val="F4E21A06"/>
    <w:lvl w:ilvl="0" w:tplc="35F0A754">
      <w:start w:val="1"/>
      <w:numFmt w:val="bullet"/>
      <w:pStyle w:val="CharacterStyle1"/>
      <w:lvlText w:val=""/>
      <w:lvlJc w:val="left"/>
      <w:pPr>
        <w:tabs>
          <w:tab w:val="num" w:pos="360"/>
        </w:tabs>
        <w:ind w:left="360" w:hanging="360"/>
      </w:pPr>
      <w:rPr>
        <w:rFonts w:ascii="Symbol" w:hAnsi="Symbol" w:hint="default"/>
        <w:color w:val="DBE5F1" w:themeColor="accent1" w:themeTint="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9"/>
  </w:num>
  <w:num w:numId="14">
    <w:abstractNumId w:val="11"/>
  </w:num>
  <w:num w:numId="15">
    <w:abstractNumId w:val="18"/>
  </w:num>
  <w:num w:numId="16">
    <w:abstractNumId w:val="20"/>
  </w:num>
  <w:num w:numId="17">
    <w:abstractNumId w:val="16"/>
  </w:num>
  <w:num w:numId="18">
    <w:abstractNumId w:val="12"/>
  </w:num>
  <w:num w:numId="19">
    <w:abstractNumId w:val="21"/>
  </w:num>
  <w:num w:numId="20">
    <w:abstractNumId w:val="15"/>
  </w:num>
  <w:num w:numId="21">
    <w:abstractNumId w:val="14"/>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A6C41"/>
    <w:rsid w:val="000228D7"/>
    <w:rsid w:val="000B0CD9"/>
    <w:rsid w:val="000E7B93"/>
    <w:rsid w:val="00120D02"/>
    <w:rsid w:val="001A4E58"/>
    <w:rsid w:val="001E2C73"/>
    <w:rsid w:val="00214658"/>
    <w:rsid w:val="00223AA9"/>
    <w:rsid w:val="00281025"/>
    <w:rsid w:val="00297816"/>
    <w:rsid w:val="002E4737"/>
    <w:rsid w:val="00344BAD"/>
    <w:rsid w:val="00395C65"/>
    <w:rsid w:val="003A7362"/>
    <w:rsid w:val="003B21D7"/>
    <w:rsid w:val="003C5D3F"/>
    <w:rsid w:val="003D399E"/>
    <w:rsid w:val="003E2EFF"/>
    <w:rsid w:val="0041087D"/>
    <w:rsid w:val="00476548"/>
    <w:rsid w:val="0049564B"/>
    <w:rsid w:val="004C030E"/>
    <w:rsid w:val="00520168"/>
    <w:rsid w:val="005405DF"/>
    <w:rsid w:val="005509F4"/>
    <w:rsid w:val="00555691"/>
    <w:rsid w:val="005E4B5D"/>
    <w:rsid w:val="00675371"/>
    <w:rsid w:val="006845C0"/>
    <w:rsid w:val="006E5DFF"/>
    <w:rsid w:val="006F6D3C"/>
    <w:rsid w:val="0071096F"/>
    <w:rsid w:val="00743106"/>
    <w:rsid w:val="00813464"/>
    <w:rsid w:val="00946300"/>
    <w:rsid w:val="009F7D0F"/>
    <w:rsid w:val="00A032AA"/>
    <w:rsid w:val="00A21306"/>
    <w:rsid w:val="00A21EC4"/>
    <w:rsid w:val="00A84AA1"/>
    <w:rsid w:val="00AA0477"/>
    <w:rsid w:val="00AE7496"/>
    <w:rsid w:val="00B93A07"/>
    <w:rsid w:val="00BF4BEB"/>
    <w:rsid w:val="00BF6798"/>
    <w:rsid w:val="00C378CB"/>
    <w:rsid w:val="00CD075F"/>
    <w:rsid w:val="00CE22CE"/>
    <w:rsid w:val="00CE7895"/>
    <w:rsid w:val="00D07267"/>
    <w:rsid w:val="00D177AD"/>
    <w:rsid w:val="00D21D48"/>
    <w:rsid w:val="00D40F94"/>
    <w:rsid w:val="00DC3A9B"/>
    <w:rsid w:val="00E33A23"/>
    <w:rsid w:val="00E579CA"/>
    <w:rsid w:val="00E91480"/>
    <w:rsid w:val="00EB5679"/>
    <w:rsid w:val="00ED6B2A"/>
    <w:rsid w:val="00F4551A"/>
    <w:rsid w:val="00F57422"/>
    <w:rsid w:val="00FA6C41"/>
    <w:rsid w:val="00FC6B5C"/>
    <w:rsid w:val="00FD6893"/>
    <w:rsid w:val="00FE4C46"/>
  </w:rsids>
  <m:mathPr>
    <m:mathFont m:val="Impact"/>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6C41"/>
    <w:pPr>
      <w:spacing w:after="120" w:line="300" w:lineRule="exact"/>
    </w:pPr>
    <w:rPr>
      <w:rFonts w:ascii="Arial" w:hAnsi="Arial"/>
      <w:sz w:val="22"/>
    </w:rPr>
  </w:style>
  <w:style w:type="paragraph" w:styleId="Heading1">
    <w:name w:val="heading 1"/>
    <w:basedOn w:val="Normal"/>
    <w:next w:val="Normal"/>
    <w:link w:val="Heading1Char"/>
    <w:uiPriority w:val="99"/>
    <w:qFormat/>
    <w:rsid w:val="00FA6C41"/>
    <w:pPr>
      <w:keepNext/>
      <w:pageBreakBefore/>
      <w:widowControl w:val="0"/>
      <w:suppressAutoHyphens/>
      <w:autoSpaceDE w:val="0"/>
      <w:autoSpaceDN w:val="0"/>
      <w:adjustRightInd w:val="0"/>
      <w:spacing w:after="240" w:line="560" w:lineRule="atLeast"/>
      <w:textAlignment w:val="center"/>
      <w:outlineLvl w:val="0"/>
    </w:pPr>
    <w:rPr>
      <w:rFonts w:cs="ArialNarrow-Bold"/>
      <w:b/>
      <w:bCs/>
      <w:color w:val="000000"/>
      <w:sz w:val="48"/>
      <w:szCs w:val="32"/>
      <w:lang w:val="en-AU"/>
    </w:rPr>
  </w:style>
  <w:style w:type="paragraph" w:styleId="Heading2">
    <w:name w:val="heading 2"/>
    <w:basedOn w:val="Normal"/>
    <w:next w:val="Normal"/>
    <w:link w:val="Heading2Char"/>
    <w:uiPriority w:val="99"/>
    <w:qFormat/>
    <w:rsid w:val="00FE4C46"/>
    <w:pPr>
      <w:keepNext/>
      <w:keepLines/>
      <w:widowControl w:val="0"/>
      <w:suppressAutoHyphens/>
      <w:autoSpaceDE w:val="0"/>
      <w:autoSpaceDN w:val="0"/>
      <w:adjustRightInd w:val="0"/>
      <w:spacing w:before="480" w:after="240" w:line="240" w:lineRule="auto"/>
      <w:textAlignment w:val="center"/>
      <w:outlineLvl w:val="1"/>
    </w:pPr>
    <w:rPr>
      <w:rFonts w:cs="Cambria-Bold"/>
      <w:b/>
      <w:bCs/>
      <w:color w:val="000000"/>
      <w:sz w:val="32"/>
      <w:szCs w:val="26"/>
      <w:lang w:val="en-AU"/>
    </w:rPr>
  </w:style>
  <w:style w:type="paragraph" w:styleId="Heading3">
    <w:name w:val="heading 3"/>
    <w:basedOn w:val="Normal"/>
    <w:next w:val="Normal"/>
    <w:link w:val="Heading3Char"/>
    <w:rsid w:val="00FA6C41"/>
    <w:pPr>
      <w:keepNext/>
      <w:keepLines/>
      <w:spacing w:before="360"/>
      <w:outlineLvl w:val="2"/>
    </w:pPr>
    <w:rPr>
      <w:rFonts w:eastAsiaTheme="majorEastAsia" w:cstheme="majorBidi"/>
      <w:b/>
      <w:bCs/>
      <w:color w:val="000000" w:themeColor="text1"/>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rsid w:val="00CE78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2595"/>
    <w:rPr>
      <w:rFonts w:ascii="Lucida Grande" w:hAnsi="Lucida Grande"/>
      <w:sz w:val="18"/>
      <w:szCs w:val="18"/>
    </w:rPr>
  </w:style>
  <w:style w:type="character" w:customStyle="1" w:styleId="BalloonTextChar0">
    <w:name w:val="Balloon Text Char"/>
    <w:basedOn w:val="DefaultParagraphFont"/>
    <w:link w:val="BalloonText"/>
    <w:uiPriority w:val="99"/>
    <w:semiHidden/>
    <w:rsid w:val="001F2595"/>
    <w:rPr>
      <w:rFonts w:ascii="Lucida Grande" w:hAnsi="Lucida Grande"/>
      <w:sz w:val="18"/>
      <w:szCs w:val="18"/>
    </w:rPr>
  </w:style>
  <w:style w:type="character" w:customStyle="1" w:styleId="BalloonTextChar2">
    <w:name w:val="Balloon Text Char"/>
    <w:basedOn w:val="DefaultParagraphFont"/>
    <w:link w:val="BalloonText"/>
    <w:uiPriority w:val="99"/>
    <w:semiHidden/>
    <w:rsid w:val="001F2595"/>
    <w:rPr>
      <w:rFonts w:ascii="Lucida Grande" w:hAnsi="Lucida Grande"/>
      <w:sz w:val="18"/>
      <w:szCs w:val="18"/>
    </w:rPr>
  </w:style>
  <w:style w:type="character" w:customStyle="1" w:styleId="Heading1Char">
    <w:name w:val="Heading 1 Char"/>
    <w:basedOn w:val="DefaultParagraphFont"/>
    <w:link w:val="Heading1"/>
    <w:uiPriority w:val="99"/>
    <w:rsid w:val="00FA6C41"/>
    <w:rPr>
      <w:rFonts w:ascii="Arial" w:hAnsi="Arial" w:cs="ArialNarrow-Bold"/>
      <w:b/>
      <w:bCs/>
      <w:color w:val="000000"/>
      <w:sz w:val="48"/>
      <w:szCs w:val="32"/>
      <w:lang w:val="en-AU"/>
    </w:rPr>
  </w:style>
  <w:style w:type="character" w:customStyle="1" w:styleId="Heading2Char">
    <w:name w:val="Heading 2 Char"/>
    <w:basedOn w:val="DefaultParagraphFont"/>
    <w:link w:val="Heading2"/>
    <w:uiPriority w:val="99"/>
    <w:rsid w:val="00FE4C46"/>
    <w:rPr>
      <w:rFonts w:ascii="Arial" w:hAnsi="Arial" w:cs="Cambria-Bold"/>
      <w:b/>
      <w:bCs/>
      <w:color w:val="000000"/>
      <w:sz w:val="32"/>
      <w:szCs w:val="26"/>
      <w:lang w:val="en-AU"/>
    </w:rPr>
  </w:style>
  <w:style w:type="character" w:customStyle="1" w:styleId="Heading3Char">
    <w:name w:val="Heading 3 Char"/>
    <w:basedOn w:val="DefaultParagraphFont"/>
    <w:link w:val="Heading3"/>
    <w:rsid w:val="00FA6C41"/>
    <w:rPr>
      <w:rFonts w:ascii="Arial" w:eastAsiaTheme="majorEastAsia" w:hAnsi="Arial" w:cstheme="majorBidi"/>
      <w:b/>
      <w:bCs/>
      <w:color w:val="000000" w:themeColor="text1"/>
    </w:rPr>
  </w:style>
  <w:style w:type="paragraph" w:customStyle="1" w:styleId="2ndlevelbullet">
    <w:name w:val="2nd level bullet"/>
    <w:basedOn w:val="Normal"/>
    <w:autoRedefine/>
    <w:uiPriority w:val="99"/>
    <w:rsid w:val="000E2A92"/>
    <w:pPr>
      <w:widowControl w:val="0"/>
      <w:tabs>
        <w:tab w:val="left" w:pos="283"/>
      </w:tabs>
      <w:suppressAutoHyphens/>
      <w:autoSpaceDE w:val="0"/>
      <w:autoSpaceDN w:val="0"/>
      <w:adjustRightInd w:val="0"/>
      <w:spacing w:after="113" w:line="240" w:lineRule="atLeast"/>
      <w:ind w:left="567" w:hanging="567"/>
      <w:textAlignment w:val="center"/>
    </w:pPr>
    <w:rPr>
      <w:rFonts w:cs="VistaSansBold"/>
      <w:b/>
      <w:bCs/>
      <w:color w:val="000000"/>
      <w:spacing w:val="-2"/>
      <w:szCs w:val="22"/>
      <w:lang w:val="en-GB"/>
    </w:rPr>
  </w:style>
  <w:style w:type="paragraph" w:customStyle="1" w:styleId="NoParagraphStyle">
    <w:name w:val="[No Paragraph Style]"/>
    <w:rsid w:val="00FA6C4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text">
    <w:name w:val="body text"/>
    <w:basedOn w:val="NoParagraphStyle"/>
    <w:uiPriority w:val="99"/>
    <w:rsid w:val="00D177AD"/>
    <w:pPr>
      <w:suppressAutoHyphens/>
      <w:spacing w:before="120" w:after="120" w:line="300" w:lineRule="atLeast"/>
    </w:pPr>
    <w:rPr>
      <w:rFonts w:ascii="Arial" w:hAnsi="Arial" w:cs="SamoSansPro-Light"/>
      <w:sz w:val="22"/>
      <w:szCs w:val="19"/>
    </w:rPr>
  </w:style>
  <w:style w:type="paragraph" w:customStyle="1" w:styleId="chapterhead">
    <w:name w:val="chapter head"/>
    <w:basedOn w:val="NoParagraphStyle"/>
    <w:uiPriority w:val="99"/>
    <w:rsid w:val="00FA6C41"/>
    <w:pPr>
      <w:spacing w:line="600" w:lineRule="atLeast"/>
    </w:pPr>
    <w:rPr>
      <w:rFonts w:ascii="SamoSansPro-Medium" w:hAnsi="SamoSansPro-Medium" w:cs="SamoSansPro-Medium"/>
      <w:color w:val="FFFFFF"/>
      <w:sz w:val="36"/>
      <w:szCs w:val="36"/>
    </w:rPr>
  </w:style>
  <w:style w:type="paragraph" w:customStyle="1" w:styleId="headA">
    <w:name w:val="head A"/>
    <w:basedOn w:val="Heading1"/>
    <w:next w:val="Heading1"/>
    <w:uiPriority w:val="99"/>
    <w:rsid w:val="00FA6C41"/>
    <w:pPr>
      <w:spacing w:before="340" w:after="57"/>
    </w:pPr>
    <w:rPr>
      <w:rFonts w:ascii="SamoSansPro-Medium" w:hAnsi="SamoSansPro-Medium" w:cs="SamoSansPro-Medium"/>
      <w:color w:val="002171"/>
      <w:sz w:val="28"/>
      <w:szCs w:val="28"/>
    </w:rPr>
  </w:style>
  <w:style w:type="paragraph" w:customStyle="1" w:styleId="headB">
    <w:name w:val="head B"/>
    <w:basedOn w:val="Heading2"/>
    <w:next w:val="Heading2"/>
    <w:uiPriority w:val="99"/>
    <w:rsid w:val="00FA6C41"/>
    <w:pPr>
      <w:spacing w:before="227" w:after="0"/>
    </w:pPr>
    <w:rPr>
      <w:rFonts w:ascii="SamoSansPro-Regular" w:hAnsi="SamoSansPro-Regular" w:cs="SamoSansPro-Regular"/>
      <w:sz w:val="21"/>
      <w:szCs w:val="21"/>
    </w:rPr>
  </w:style>
  <w:style w:type="paragraph" w:customStyle="1" w:styleId="TOCA">
    <w:name w:val="TOC A"/>
    <w:basedOn w:val="headB"/>
    <w:uiPriority w:val="99"/>
    <w:rsid w:val="00FA6C41"/>
    <w:pPr>
      <w:keepNext w:val="0"/>
      <w:keepLines w:val="0"/>
      <w:tabs>
        <w:tab w:val="right" w:pos="7483"/>
      </w:tabs>
      <w:spacing w:line="288" w:lineRule="auto"/>
      <w:outlineLvl w:val="9"/>
    </w:pPr>
    <w:rPr>
      <w:b w:val="0"/>
      <w:bCs w:val="0"/>
      <w:color w:val="002171"/>
      <w:lang w:val="en-GB"/>
    </w:rPr>
  </w:style>
  <w:style w:type="paragraph" w:customStyle="1" w:styleId="TOCB">
    <w:name w:val="TOC B"/>
    <w:basedOn w:val="bodytext"/>
    <w:uiPriority w:val="99"/>
    <w:rsid w:val="00FA6C41"/>
    <w:pPr>
      <w:tabs>
        <w:tab w:val="right" w:pos="7483"/>
      </w:tabs>
      <w:spacing w:after="0"/>
    </w:pPr>
  </w:style>
  <w:style w:type="paragraph" w:customStyle="1" w:styleId="bodybullets">
    <w:name w:val="body bullets"/>
    <w:basedOn w:val="ListBullet"/>
    <w:next w:val="ListBullet"/>
    <w:uiPriority w:val="99"/>
    <w:rsid w:val="004C030E"/>
    <w:pPr>
      <w:spacing w:before="120"/>
    </w:pPr>
  </w:style>
  <w:style w:type="paragraph" w:styleId="ListBullet">
    <w:name w:val="List Bullet"/>
    <w:basedOn w:val="Normal"/>
    <w:rsid w:val="004C030E"/>
    <w:pPr>
      <w:numPr>
        <w:numId w:val="22"/>
      </w:numPr>
      <w:contextualSpacing/>
    </w:pPr>
  </w:style>
  <w:style w:type="paragraph" w:customStyle="1" w:styleId="outcomes">
    <w:name w:val="outcomes"/>
    <w:basedOn w:val="bodytext"/>
    <w:uiPriority w:val="99"/>
    <w:rsid w:val="00FA6C41"/>
    <w:pPr>
      <w:tabs>
        <w:tab w:val="left" w:pos="454"/>
      </w:tabs>
      <w:ind w:left="454" w:hanging="454"/>
    </w:pPr>
    <w:rPr>
      <w:rFonts w:ascii="SamoSansPro-LightItalic" w:hAnsi="SamoSansPro-LightItalic" w:cs="SamoSansPro-LightItalic"/>
      <w:i/>
      <w:iCs/>
    </w:rPr>
  </w:style>
  <w:style w:type="paragraph" w:customStyle="1" w:styleId="bodybulletsnumbers">
    <w:name w:val="body bullets numbers"/>
    <w:basedOn w:val="bodybullets"/>
    <w:uiPriority w:val="99"/>
    <w:rsid w:val="00FA6C41"/>
  </w:style>
  <w:style w:type="paragraph" w:customStyle="1" w:styleId="tabletitle">
    <w:name w:val="table title"/>
    <w:basedOn w:val="bodytext"/>
    <w:uiPriority w:val="99"/>
    <w:rsid w:val="00555691"/>
    <w:pPr>
      <w:spacing w:before="227"/>
    </w:pPr>
    <w:rPr>
      <w:rFonts w:ascii="Arial Black" w:hAnsi="Arial Black" w:cs="SamoSansPro-Bold"/>
      <w:bCs/>
      <w:color w:val="000000" w:themeColor="text1"/>
    </w:rPr>
  </w:style>
  <w:style w:type="paragraph" w:customStyle="1" w:styleId="tablenotes">
    <w:name w:val="table notes"/>
    <w:basedOn w:val="headB"/>
    <w:uiPriority w:val="99"/>
    <w:rsid w:val="00555691"/>
    <w:pPr>
      <w:keepNext w:val="0"/>
      <w:keepLines w:val="0"/>
      <w:spacing w:before="0" w:line="220" w:lineRule="atLeast"/>
      <w:outlineLvl w:val="9"/>
    </w:pPr>
    <w:rPr>
      <w:rFonts w:ascii="Arial" w:hAnsi="Arial" w:cs="SamoSansPro-Light"/>
      <w:b w:val="0"/>
      <w:bCs w:val="0"/>
      <w:sz w:val="15"/>
      <w:szCs w:val="15"/>
      <w:lang w:val="en-GB"/>
    </w:rPr>
  </w:style>
  <w:style w:type="paragraph" w:customStyle="1" w:styleId="tablenotesbullets">
    <w:name w:val="table notes bullets"/>
    <w:basedOn w:val="tablenotes"/>
    <w:uiPriority w:val="99"/>
    <w:rsid w:val="00FA6C41"/>
    <w:pPr>
      <w:tabs>
        <w:tab w:val="left" w:pos="227"/>
      </w:tabs>
      <w:ind w:left="227" w:hanging="227"/>
    </w:pPr>
  </w:style>
  <w:style w:type="paragraph" w:customStyle="1" w:styleId="Heading41">
    <w:name w:val="Heading 41"/>
    <w:basedOn w:val="bodytext"/>
    <w:uiPriority w:val="99"/>
    <w:rsid w:val="00946300"/>
    <w:pPr>
      <w:spacing w:before="240" w:after="0"/>
    </w:pPr>
    <w:rPr>
      <w:rFonts w:cs="SamoSansPro-MediumItalic"/>
      <w:b/>
      <w:i/>
      <w:iCs/>
    </w:rPr>
  </w:style>
  <w:style w:type="paragraph" w:customStyle="1" w:styleId="tabletext">
    <w:name w:val="table text"/>
    <w:basedOn w:val="bodytext"/>
    <w:uiPriority w:val="99"/>
    <w:rsid w:val="00CE7895"/>
    <w:pPr>
      <w:spacing w:line="210" w:lineRule="atLeast"/>
    </w:pPr>
    <w:rPr>
      <w:sz w:val="18"/>
      <w:szCs w:val="17"/>
    </w:rPr>
  </w:style>
  <w:style w:type="paragraph" w:customStyle="1" w:styleId="bulletsletters">
    <w:name w:val="bullets: letters"/>
    <w:basedOn w:val="bodybulletsnumbers"/>
    <w:uiPriority w:val="99"/>
    <w:rsid w:val="00FA6C41"/>
  </w:style>
  <w:style w:type="paragraph" w:customStyle="1" w:styleId="headD">
    <w:name w:val="head D"/>
    <w:basedOn w:val="Heading41"/>
    <w:uiPriority w:val="99"/>
    <w:rsid w:val="00FA6C41"/>
    <w:rPr>
      <w:rFonts w:ascii="SamoSansPro-Medium" w:hAnsi="SamoSansPro-Medium" w:cs="SamoSansPro-Medium"/>
    </w:rPr>
  </w:style>
  <w:style w:type="paragraph" w:customStyle="1" w:styleId="headE">
    <w:name w:val="head E"/>
    <w:basedOn w:val="headD"/>
    <w:uiPriority w:val="99"/>
    <w:rsid w:val="00FA6C41"/>
    <w:rPr>
      <w:rFonts w:ascii="SamoSansPro-Light" w:hAnsi="SamoSansPro-Light" w:cs="SamoSansPro-Light"/>
      <w:u w:val="thick"/>
    </w:rPr>
  </w:style>
  <w:style w:type="paragraph" w:customStyle="1" w:styleId="tableheader">
    <w:name w:val="table header"/>
    <w:basedOn w:val="headB"/>
    <w:uiPriority w:val="99"/>
    <w:rsid w:val="00FA6C41"/>
    <w:pPr>
      <w:keepNext w:val="0"/>
      <w:keepLines w:val="0"/>
      <w:spacing w:line="210" w:lineRule="atLeast"/>
      <w:outlineLvl w:val="9"/>
    </w:pPr>
    <w:rPr>
      <w:rFonts w:ascii="SamoSansPro-Medium" w:hAnsi="SamoSansPro-Medium" w:cs="SamoSansPro-Medium"/>
      <w:b w:val="0"/>
      <w:bCs w:val="0"/>
      <w:color w:val="FFFFFF"/>
      <w:sz w:val="17"/>
      <w:szCs w:val="17"/>
      <w:lang w:val="en-GB"/>
    </w:rPr>
  </w:style>
  <w:style w:type="paragraph" w:customStyle="1" w:styleId="tablebullets">
    <w:name w:val="table bullets"/>
    <w:basedOn w:val="bodybullets"/>
    <w:uiPriority w:val="99"/>
    <w:rsid w:val="00FA6C41"/>
    <w:rPr>
      <w:sz w:val="17"/>
      <w:szCs w:val="17"/>
    </w:rPr>
  </w:style>
  <w:style w:type="paragraph" w:customStyle="1" w:styleId="tableheadmedblue">
    <w:name w:val="table: head med blue"/>
    <w:basedOn w:val="tabletext"/>
    <w:uiPriority w:val="99"/>
    <w:rsid w:val="00FA6C41"/>
    <w:rPr>
      <w:rFonts w:ascii="SamoSansPro-Medium" w:hAnsi="SamoSansPro-Medium" w:cs="SamoSansPro-Medium"/>
      <w:caps/>
      <w:color w:val="002171"/>
      <w:spacing w:val="-2"/>
    </w:rPr>
  </w:style>
  <w:style w:type="paragraph" w:customStyle="1" w:styleId="Financialnote">
    <w:name w:val="Financial: note"/>
    <w:basedOn w:val="tabletext"/>
    <w:uiPriority w:val="99"/>
    <w:rsid w:val="00FA6C41"/>
    <w:rPr>
      <w:rFonts w:ascii="SamoSansPro-LightItalic" w:hAnsi="SamoSansPro-LightItalic" w:cs="SamoSansPro-LightItalic"/>
      <w:i/>
      <w:iCs/>
      <w:sz w:val="14"/>
      <w:szCs w:val="14"/>
    </w:rPr>
  </w:style>
  <w:style w:type="paragraph" w:customStyle="1" w:styleId="Financialsfootnotes">
    <w:name w:val="Financials:  footnotes"/>
    <w:basedOn w:val="bodybulletsnumbers"/>
    <w:uiPriority w:val="99"/>
    <w:rsid w:val="00FA6C41"/>
    <w:pPr>
      <w:spacing w:line="190" w:lineRule="atLeast"/>
    </w:pPr>
    <w:rPr>
      <w:sz w:val="15"/>
      <w:szCs w:val="15"/>
    </w:rPr>
  </w:style>
  <w:style w:type="paragraph" w:customStyle="1" w:styleId="Financialsletters">
    <w:name w:val="Financials: letters"/>
    <w:basedOn w:val="Financialsfootnotes"/>
    <w:uiPriority w:val="99"/>
    <w:rsid w:val="00FA6C41"/>
  </w:style>
  <w:style w:type="character" w:customStyle="1" w:styleId="bodyitals">
    <w:name w:val="body itals"/>
    <w:uiPriority w:val="99"/>
    <w:rsid w:val="00FA6C41"/>
    <w:rPr>
      <w:i/>
      <w:iCs/>
    </w:rPr>
  </w:style>
  <w:style w:type="character" w:customStyle="1" w:styleId="bodymed">
    <w:name w:val="body med"/>
    <w:uiPriority w:val="99"/>
    <w:rsid w:val="00FA6C41"/>
  </w:style>
  <w:style w:type="character" w:customStyle="1" w:styleId="Bulletsdot">
    <w:name w:val="Bullets : dot"/>
    <w:uiPriority w:val="99"/>
    <w:rsid w:val="00FA6C41"/>
    <w:rPr>
      <w:rFonts w:ascii="SamoSansPro-Bold" w:hAnsi="SamoSansPro-Bold" w:cs="SamoSansPro-Bold"/>
      <w:b/>
      <w:bCs/>
      <w:color w:val="1C6B91"/>
      <w:sz w:val="20"/>
      <w:szCs w:val="20"/>
      <w:vertAlign w:val="baseline"/>
    </w:rPr>
  </w:style>
  <w:style w:type="character" w:customStyle="1" w:styleId="CharacterStyle1">
    <w:name w:val="Character Style 1"/>
    <w:uiPriority w:val="99"/>
    <w:rsid w:val="00FA6C41"/>
    <w:rPr>
      <w:rFonts w:ascii="SamoSansPro-Bold" w:hAnsi="SamoSansPro-Bold" w:cs="SamoSansPro-Bold"/>
      <w:b/>
      <w:bCs/>
      <w:color w:val="1C6B91"/>
    </w:rPr>
  </w:style>
  <w:style w:type="character" w:styleId="Hyperlink">
    <w:name w:val="Hyperlink"/>
    <w:basedOn w:val="DefaultParagraphFont"/>
    <w:uiPriority w:val="99"/>
    <w:unhideWhenUsed/>
    <w:rsid w:val="00CE7895"/>
    <w:rPr>
      <w:color w:val="0000D4"/>
      <w:u w:val="single"/>
    </w:rPr>
  </w:style>
  <w:style w:type="character" w:customStyle="1" w:styleId="BalloonTextChar1">
    <w:name w:val="Balloon Text Char1"/>
    <w:basedOn w:val="DefaultParagraphFont"/>
    <w:link w:val="BalloonText"/>
    <w:rsid w:val="00CE7895"/>
    <w:rPr>
      <w:rFonts w:ascii="Lucida Grande" w:hAnsi="Lucida Grande" w:cs="Lucida Grande"/>
      <w:sz w:val="18"/>
      <w:szCs w:val="18"/>
    </w:rPr>
  </w:style>
  <w:style w:type="paragraph" w:customStyle="1" w:styleId="NotesFinancials">
    <w:name w:val="Notes: Financials"/>
    <w:basedOn w:val="Normal"/>
    <w:qFormat/>
    <w:rsid w:val="00214658"/>
    <w:pPr>
      <w:spacing w:after="0"/>
    </w:pPr>
    <w:rPr>
      <w:lang w:val="en-AU"/>
    </w:rPr>
  </w:style>
  <w:style w:type="paragraph" w:customStyle="1" w:styleId="Financialsnotehead">
    <w:name w:val="Financials note head"/>
    <w:basedOn w:val="Financialnote"/>
    <w:qFormat/>
    <w:rsid w:val="00344BAD"/>
    <w:rPr>
      <w:rFonts w:ascii="Arial" w:hAnsi="Arial"/>
      <w:b/>
      <w:i w:val="0"/>
      <w:sz w:val="28"/>
    </w:rPr>
  </w:style>
  <w:style w:type="paragraph" w:styleId="ListParagraph">
    <w:name w:val="List Paragraph"/>
    <w:basedOn w:val="Normal"/>
    <w:rsid w:val="000228D7"/>
    <w:pPr>
      <w:ind w:left="720"/>
      <w:contextualSpacing/>
    </w:pPr>
  </w:style>
  <w:style w:type="paragraph" w:customStyle="1" w:styleId="indentednobullet">
    <w:name w:val="indented no bullet"/>
    <w:basedOn w:val="ListBullet"/>
    <w:qFormat/>
    <w:rsid w:val="000228D7"/>
    <w:rPr>
      <w:lang w:val="en-GB"/>
    </w:rPr>
  </w:style>
  <w:style w:type="paragraph" w:styleId="TOC1">
    <w:name w:val="toc 1"/>
    <w:basedOn w:val="Normal"/>
    <w:next w:val="Normal"/>
    <w:autoRedefine/>
    <w:uiPriority w:val="39"/>
    <w:rsid w:val="006845C0"/>
    <w:pPr>
      <w:spacing w:before="120" w:after="0"/>
    </w:pPr>
    <w:rPr>
      <w:rFonts w:asciiTheme="minorHAnsi" w:hAnsiTheme="minorHAnsi"/>
      <w:b/>
      <w:szCs w:val="22"/>
    </w:rPr>
  </w:style>
  <w:style w:type="paragraph" w:styleId="TOC2">
    <w:name w:val="toc 2"/>
    <w:basedOn w:val="Normal"/>
    <w:next w:val="Normal"/>
    <w:autoRedefine/>
    <w:uiPriority w:val="39"/>
    <w:rsid w:val="006845C0"/>
    <w:pPr>
      <w:spacing w:after="0"/>
      <w:ind w:left="220"/>
    </w:pPr>
    <w:rPr>
      <w:rFonts w:asciiTheme="minorHAnsi" w:hAnsiTheme="minorHAnsi"/>
      <w:i/>
      <w:szCs w:val="22"/>
    </w:rPr>
  </w:style>
  <w:style w:type="paragraph" w:styleId="TOC3">
    <w:name w:val="toc 3"/>
    <w:basedOn w:val="Normal"/>
    <w:next w:val="Normal"/>
    <w:autoRedefine/>
    <w:uiPriority w:val="39"/>
    <w:rsid w:val="006845C0"/>
    <w:pPr>
      <w:spacing w:after="0"/>
      <w:ind w:left="440"/>
    </w:pPr>
    <w:rPr>
      <w:rFonts w:asciiTheme="minorHAnsi" w:hAnsiTheme="minorHAnsi"/>
      <w:szCs w:val="22"/>
    </w:rPr>
  </w:style>
  <w:style w:type="paragraph" w:styleId="TOC4">
    <w:name w:val="toc 4"/>
    <w:basedOn w:val="Normal"/>
    <w:next w:val="Normal"/>
    <w:autoRedefine/>
    <w:uiPriority w:val="39"/>
    <w:rsid w:val="006845C0"/>
    <w:pPr>
      <w:spacing w:after="0"/>
      <w:ind w:left="660"/>
    </w:pPr>
    <w:rPr>
      <w:rFonts w:asciiTheme="minorHAnsi" w:hAnsiTheme="minorHAnsi"/>
      <w:sz w:val="20"/>
      <w:szCs w:val="20"/>
    </w:rPr>
  </w:style>
  <w:style w:type="paragraph" w:styleId="TOC5">
    <w:name w:val="toc 5"/>
    <w:basedOn w:val="Normal"/>
    <w:next w:val="Normal"/>
    <w:autoRedefine/>
    <w:uiPriority w:val="39"/>
    <w:rsid w:val="006845C0"/>
    <w:pPr>
      <w:spacing w:after="0"/>
      <w:ind w:left="880"/>
    </w:pPr>
    <w:rPr>
      <w:rFonts w:asciiTheme="minorHAnsi" w:hAnsiTheme="minorHAnsi"/>
      <w:sz w:val="20"/>
      <w:szCs w:val="20"/>
    </w:rPr>
  </w:style>
  <w:style w:type="paragraph" w:styleId="TOC6">
    <w:name w:val="toc 6"/>
    <w:basedOn w:val="Normal"/>
    <w:next w:val="Normal"/>
    <w:autoRedefine/>
    <w:uiPriority w:val="39"/>
    <w:rsid w:val="006845C0"/>
    <w:pPr>
      <w:spacing w:after="0"/>
      <w:ind w:left="1100"/>
    </w:pPr>
    <w:rPr>
      <w:rFonts w:asciiTheme="minorHAnsi" w:hAnsiTheme="minorHAnsi"/>
      <w:sz w:val="20"/>
      <w:szCs w:val="20"/>
    </w:rPr>
  </w:style>
  <w:style w:type="paragraph" w:styleId="TOC7">
    <w:name w:val="toc 7"/>
    <w:basedOn w:val="Normal"/>
    <w:next w:val="Normal"/>
    <w:autoRedefine/>
    <w:uiPriority w:val="39"/>
    <w:rsid w:val="006845C0"/>
    <w:pPr>
      <w:spacing w:after="0"/>
      <w:ind w:left="1320"/>
    </w:pPr>
    <w:rPr>
      <w:rFonts w:asciiTheme="minorHAnsi" w:hAnsiTheme="minorHAnsi"/>
      <w:sz w:val="20"/>
      <w:szCs w:val="20"/>
    </w:rPr>
  </w:style>
  <w:style w:type="paragraph" w:styleId="TOC8">
    <w:name w:val="toc 8"/>
    <w:basedOn w:val="Normal"/>
    <w:next w:val="Normal"/>
    <w:autoRedefine/>
    <w:uiPriority w:val="39"/>
    <w:rsid w:val="006845C0"/>
    <w:pPr>
      <w:spacing w:after="0"/>
      <w:ind w:left="1540"/>
    </w:pPr>
    <w:rPr>
      <w:rFonts w:asciiTheme="minorHAnsi" w:hAnsiTheme="minorHAnsi"/>
      <w:sz w:val="20"/>
      <w:szCs w:val="20"/>
    </w:rPr>
  </w:style>
  <w:style w:type="paragraph" w:styleId="TOC9">
    <w:name w:val="toc 9"/>
    <w:basedOn w:val="Normal"/>
    <w:next w:val="Normal"/>
    <w:autoRedefine/>
    <w:uiPriority w:val="39"/>
    <w:rsid w:val="006845C0"/>
    <w:pPr>
      <w:spacing w:after="0"/>
      <w:ind w:left="1760"/>
    </w:pPr>
    <w:rPr>
      <w:rFonts w:asciiTheme="minorHAnsi" w:hAnsiTheme="minorHAnsi"/>
      <w:sz w:val="20"/>
      <w:szCs w:val="20"/>
    </w:rPr>
  </w:style>
  <w:style w:type="paragraph" w:styleId="Header">
    <w:name w:val="header"/>
    <w:basedOn w:val="Normal"/>
    <w:link w:val="HeaderChar"/>
    <w:rsid w:val="006F6D3C"/>
    <w:pPr>
      <w:tabs>
        <w:tab w:val="center" w:pos="4320"/>
        <w:tab w:val="right" w:pos="8640"/>
      </w:tabs>
      <w:spacing w:after="0" w:line="240" w:lineRule="auto"/>
    </w:pPr>
  </w:style>
  <w:style w:type="character" w:customStyle="1" w:styleId="HeaderChar">
    <w:name w:val="Header Char"/>
    <w:basedOn w:val="DefaultParagraphFont"/>
    <w:link w:val="Header"/>
    <w:rsid w:val="006F6D3C"/>
    <w:rPr>
      <w:rFonts w:ascii="Arial" w:hAnsi="Arial"/>
      <w:sz w:val="22"/>
    </w:rPr>
  </w:style>
  <w:style w:type="paragraph" w:styleId="Footer">
    <w:name w:val="footer"/>
    <w:basedOn w:val="Normal"/>
    <w:link w:val="FooterChar"/>
    <w:rsid w:val="006F6D3C"/>
    <w:pPr>
      <w:tabs>
        <w:tab w:val="center" w:pos="4320"/>
        <w:tab w:val="right" w:pos="8640"/>
      </w:tabs>
      <w:spacing w:after="0" w:line="240" w:lineRule="auto"/>
    </w:pPr>
  </w:style>
  <w:style w:type="character" w:customStyle="1" w:styleId="FooterChar">
    <w:name w:val="Footer Char"/>
    <w:basedOn w:val="DefaultParagraphFont"/>
    <w:link w:val="Footer"/>
    <w:rsid w:val="006F6D3C"/>
    <w:rPr>
      <w:rFonts w:ascii="Arial" w:hAnsi="Arial"/>
      <w:sz w:val="22"/>
    </w:rPr>
  </w:style>
  <w:style w:type="character" w:styleId="PageNumber">
    <w:name w:val="page number"/>
    <w:basedOn w:val="DefaultParagraphFont"/>
    <w:rsid w:val="006F6D3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00322">
      <w:bodyDiv w:val="1"/>
      <w:marLeft w:val="0"/>
      <w:marRight w:val="0"/>
      <w:marTop w:val="0"/>
      <w:marBottom w:val="0"/>
      <w:divBdr>
        <w:top w:val="none" w:sz="0" w:space="0" w:color="auto"/>
        <w:left w:val="none" w:sz="0" w:space="0" w:color="auto"/>
        <w:bottom w:val="none" w:sz="0" w:space="0" w:color="auto"/>
        <w:right w:val="none" w:sz="0" w:space="0" w:color="auto"/>
      </w:divBdr>
    </w:div>
    <w:div w:id="113255995">
      <w:bodyDiv w:val="1"/>
      <w:marLeft w:val="0"/>
      <w:marRight w:val="0"/>
      <w:marTop w:val="0"/>
      <w:marBottom w:val="0"/>
      <w:divBdr>
        <w:top w:val="none" w:sz="0" w:space="0" w:color="auto"/>
        <w:left w:val="none" w:sz="0" w:space="0" w:color="auto"/>
        <w:bottom w:val="none" w:sz="0" w:space="0" w:color="auto"/>
        <w:right w:val="none" w:sz="0" w:space="0" w:color="auto"/>
      </w:divBdr>
    </w:div>
    <w:div w:id="139461997">
      <w:bodyDiv w:val="1"/>
      <w:marLeft w:val="0"/>
      <w:marRight w:val="0"/>
      <w:marTop w:val="0"/>
      <w:marBottom w:val="0"/>
      <w:divBdr>
        <w:top w:val="none" w:sz="0" w:space="0" w:color="auto"/>
        <w:left w:val="none" w:sz="0" w:space="0" w:color="auto"/>
        <w:bottom w:val="none" w:sz="0" w:space="0" w:color="auto"/>
        <w:right w:val="none" w:sz="0" w:space="0" w:color="auto"/>
      </w:divBdr>
    </w:div>
    <w:div w:id="179897475">
      <w:bodyDiv w:val="1"/>
      <w:marLeft w:val="0"/>
      <w:marRight w:val="0"/>
      <w:marTop w:val="0"/>
      <w:marBottom w:val="0"/>
      <w:divBdr>
        <w:top w:val="none" w:sz="0" w:space="0" w:color="auto"/>
        <w:left w:val="none" w:sz="0" w:space="0" w:color="auto"/>
        <w:bottom w:val="none" w:sz="0" w:space="0" w:color="auto"/>
        <w:right w:val="none" w:sz="0" w:space="0" w:color="auto"/>
      </w:divBdr>
    </w:div>
    <w:div w:id="228343681">
      <w:bodyDiv w:val="1"/>
      <w:marLeft w:val="0"/>
      <w:marRight w:val="0"/>
      <w:marTop w:val="0"/>
      <w:marBottom w:val="0"/>
      <w:divBdr>
        <w:top w:val="none" w:sz="0" w:space="0" w:color="auto"/>
        <w:left w:val="none" w:sz="0" w:space="0" w:color="auto"/>
        <w:bottom w:val="none" w:sz="0" w:space="0" w:color="auto"/>
        <w:right w:val="none" w:sz="0" w:space="0" w:color="auto"/>
      </w:divBdr>
    </w:div>
    <w:div w:id="255947987">
      <w:bodyDiv w:val="1"/>
      <w:marLeft w:val="0"/>
      <w:marRight w:val="0"/>
      <w:marTop w:val="0"/>
      <w:marBottom w:val="0"/>
      <w:divBdr>
        <w:top w:val="none" w:sz="0" w:space="0" w:color="auto"/>
        <w:left w:val="none" w:sz="0" w:space="0" w:color="auto"/>
        <w:bottom w:val="none" w:sz="0" w:space="0" w:color="auto"/>
        <w:right w:val="none" w:sz="0" w:space="0" w:color="auto"/>
      </w:divBdr>
    </w:div>
    <w:div w:id="268465146">
      <w:bodyDiv w:val="1"/>
      <w:marLeft w:val="0"/>
      <w:marRight w:val="0"/>
      <w:marTop w:val="0"/>
      <w:marBottom w:val="0"/>
      <w:divBdr>
        <w:top w:val="none" w:sz="0" w:space="0" w:color="auto"/>
        <w:left w:val="none" w:sz="0" w:space="0" w:color="auto"/>
        <w:bottom w:val="none" w:sz="0" w:space="0" w:color="auto"/>
        <w:right w:val="none" w:sz="0" w:space="0" w:color="auto"/>
      </w:divBdr>
    </w:div>
    <w:div w:id="433936274">
      <w:bodyDiv w:val="1"/>
      <w:marLeft w:val="0"/>
      <w:marRight w:val="0"/>
      <w:marTop w:val="0"/>
      <w:marBottom w:val="0"/>
      <w:divBdr>
        <w:top w:val="none" w:sz="0" w:space="0" w:color="auto"/>
        <w:left w:val="none" w:sz="0" w:space="0" w:color="auto"/>
        <w:bottom w:val="none" w:sz="0" w:space="0" w:color="auto"/>
        <w:right w:val="none" w:sz="0" w:space="0" w:color="auto"/>
      </w:divBdr>
    </w:div>
    <w:div w:id="516699672">
      <w:bodyDiv w:val="1"/>
      <w:marLeft w:val="0"/>
      <w:marRight w:val="0"/>
      <w:marTop w:val="0"/>
      <w:marBottom w:val="0"/>
      <w:divBdr>
        <w:top w:val="none" w:sz="0" w:space="0" w:color="auto"/>
        <w:left w:val="none" w:sz="0" w:space="0" w:color="auto"/>
        <w:bottom w:val="none" w:sz="0" w:space="0" w:color="auto"/>
        <w:right w:val="none" w:sz="0" w:space="0" w:color="auto"/>
      </w:divBdr>
    </w:div>
    <w:div w:id="521171096">
      <w:bodyDiv w:val="1"/>
      <w:marLeft w:val="0"/>
      <w:marRight w:val="0"/>
      <w:marTop w:val="0"/>
      <w:marBottom w:val="0"/>
      <w:divBdr>
        <w:top w:val="none" w:sz="0" w:space="0" w:color="auto"/>
        <w:left w:val="none" w:sz="0" w:space="0" w:color="auto"/>
        <w:bottom w:val="none" w:sz="0" w:space="0" w:color="auto"/>
        <w:right w:val="none" w:sz="0" w:space="0" w:color="auto"/>
      </w:divBdr>
    </w:div>
    <w:div w:id="630212644">
      <w:bodyDiv w:val="1"/>
      <w:marLeft w:val="0"/>
      <w:marRight w:val="0"/>
      <w:marTop w:val="0"/>
      <w:marBottom w:val="0"/>
      <w:divBdr>
        <w:top w:val="none" w:sz="0" w:space="0" w:color="auto"/>
        <w:left w:val="none" w:sz="0" w:space="0" w:color="auto"/>
        <w:bottom w:val="none" w:sz="0" w:space="0" w:color="auto"/>
        <w:right w:val="none" w:sz="0" w:space="0" w:color="auto"/>
      </w:divBdr>
    </w:div>
    <w:div w:id="667247571">
      <w:bodyDiv w:val="1"/>
      <w:marLeft w:val="0"/>
      <w:marRight w:val="0"/>
      <w:marTop w:val="0"/>
      <w:marBottom w:val="0"/>
      <w:divBdr>
        <w:top w:val="none" w:sz="0" w:space="0" w:color="auto"/>
        <w:left w:val="none" w:sz="0" w:space="0" w:color="auto"/>
        <w:bottom w:val="none" w:sz="0" w:space="0" w:color="auto"/>
        <w:right w:val="none" w:sz="0" w:space="0" w:color="auto"/>
      </w:divBdr>
    </w:div>
    <w:div w:id="689264195">
      <w:bodyDiv w:val="1"/>
      <w:marLeft w:val="0"/>
      <w:marRight w:val="0"/>
      <w:marTop w:val="0"/>
      <w:marBottom w:val="0"/>
      <w:divBdr>
        <w:top w:val="none" w:sz="0" w:space="0" w:color="auto"/>
        <w:left w:val="none" w:sz="0" w:space="0" w:color="auto"/>
        <w:bottom w:val="none" w:sz="0" w:space="0" w:color="auto"/>
        <w:right w:val="none" w:sz="0" w:space="0" w:color="auto"/>
      </w:divBdr>
    </w:div>
    <w:div w:id="716079028">
      <w:bodyDiv w:val="1"/>
      <w:marLeft w:val="0"/>
      <w:marRight w:val="0"/>
      <w:marTop w:val="0"/>
      <w:marBottom w:val="0"/>
      <w:divBdr>
        <w:top w:val="none" w:sz="0" w:space="0" w:color="auto"/>
        <w:left w:val="none" w:sz="0" w:space="0" w:color="auto"/>
        <w:bottom w:val="none" w:sz="0" w:space="0" w:color="auto"/>
        <w:right w:val="none" w:sz="0" w:space="0" w:color="auto"/>
      </w:divBdr>
    </w:div>
    <w:div w:id="760639374">
      <w:bodyDiv w:val="1"/>
      <w:marLeft w:val="0"/>
      <w:marRight w:val="0"/>
      <w:marTop w:val="0"/>
      <w:marBottom w:val="0"/>
      <w:divBdr>
        <w:top w:val="none" w:sz="0" w:space="0" w:color="auto"/>
        <w:left w:val="none" w:sz="0" w:space="0" w:color="auto"/>
        <w:bottom w:val="none" w:sz="0" w:space="0" w:color="auto"/>
        <w:right w:val="none" w:sz="0" w:space="0" w:color="auto"/>
      </w:divBdr>
    </w:div>
    <w:div w:id="787506945">
      <w:bodyDiv w:val="1"/>
      <w:marLeft w:val="0"/>
      <w:marRight w:val="0"/>
      <w:marTop w:val="0"/>
      <w:marBottom w:val="0"/>
      <w:divBdr>
        <w:top w:val="none" w:sz="0" w:space="0" w:color="auto"/>
        <w:left w:val="none" w:sz="0" w:space="0" w:color="auto"/>
        <w:bottom w:val="none" w:sz="0" w:space="0" w:color="auto"/>
        <w:right w:val="none" w:sz="0" w:space="0" w:color="auto"/>
      </w:divBdr>
    </w:div>
    <w:div w:id="954796836">
      <w:bodyDiv w:val="1"/>
      <w:marLeft w:val="0"/>
      <w:marRight w:val="0"/>
      <w:marTop w:val="0"/>
      <w:marBottom w:val="0"/>
      <w:divBdr>
        <w:top w:val="none" w:sz="0" w:space="0" w:color="auto"/>
        <w:left w:val="none" w:sz="0" w:space="0" w:color="auto"/>
        <w:bottom w:val="none" w:sz="0" w:space="0" w:color="auto"/>
        <w:right w:val="none" w:sz="0" w:space="0" w:color="auto"/>
      </w:divBdr>
    </w:div>
    <w:div w:id="1100223546">
      <w:bodyDiv w:val="1"/>
      <w:marLeft w:val="0"/>
      <w:marRight w:val="0"/>
      <w:marTop w:val="0"/>
      <w:marBottom w:val="0"/>
      <w:divBdr>
        <w:top w:val="none" w:sz="0" w:space="0" w:color="auto"/>
        <w:left w:val="none" w:sz="0" w:space="0" w:color="auto"/>
        <w:bottom w:val="none" w:sz="0" w:space="0" w:color="auto"/>
        <w:right w:val="none" w:sz="0" w:space="0" w:color="auto"/>
      </w:divBdr>
    </w:div>
    <w:div w:id="1246303987">
      <w:bodyDiv w:val="1"/>
      <w:marLeft w:val="0"/>
      <w:marRight w:val="0"/>
      <w:marTop w:val="0"/>
      <w:marBottom w:val="0"/>
      <w:divBdr>
        <w:top w:val="none" w:sz="0" w:space="0" w:color="auto"/>
        <w:left w:val="none" w:sz="0" w:space="0" w:color="auto"/>
        <w:bottom w:val="none" w:sz="0" w:space="0" w:color="auto"/>
        <w:right w:val="none" w:sz="0" w:space="0" w:color="auto"/>
      </w:divBdr>
    </w:div>
    <w:div w:id="1452821565">
      <w:bodyDiv w:val="1"/>
      <w:marLeft w:val="0"/>
      <w:marRight w:val="0"/>
      <w:marTop w:val="0"/>
      <w:marBottom w:val="0"/>
      <w:divBdr>
        <w:top w:val="none" w:sz="0" w:space="0" w:color="auto"/>
        <w:left w:val="none" w:sz="0" w:space="0" w:color="auto"/>
        <w:bottom w:val="none" w:sz="0" w:space="0" w:color="auto"/>
        <w:right w:val="none" w:sz="0" w:space="0" w:color="auto"/>
      </w:divBdr>
    </w:div>
    <w:div w:id="1514299477">
      <w:bodyDiv w:val="1"/>
      <w:marLeft w:val="0"/>
      <w:marRight w:val="0"/>
      <w:marTop w:val="0"/>
      <w:marBottom w:val="0"/>
      <w:divBdr>
        <w:top w:val="none" w:sz="0" w:space="0" w:color="auto"/>
        <w:left w:val="none" w:sz="0" w:space="0" w:color="auto"/>
        <w:bottom w:val="none" w:sz="0" w:space="0" w:color="auto"/>
        <w:right w:val="none" w:sz="0" w:space="0" w:color="auto"/>
      </w:divBdr>
    </w:div>
    <w:div w:id="1633168915">
      <w:bodyDiv w:val="1"/>
      <w:marLeft w:val="0"/>
      <w:marRight w:val="0"/>
      <w:marTop w:val="0"/>
      <w:marBottom w:val="0"/>
      <w:divBdr>
        <w:top w:val="none" w:sz="0" w:space="0" w:color="auto"/>
        <w:left w:val="none" w:sz="0" w:space="0" w:color="auto"/>
        <w:bottom w:val="none" w:sz="0" w:space="0" w:color="auto"/>
        <w:right w:val="none" w:sz="0" w:space="0" w:color="auto"/>
      </w:divBdr>
    </w:div>
    <w:div w:id="1640529470">
      <w:bodyDiv w:val="1"/>
      <w:marLeft w:val="0"/>
      <w:marRight w:val="0"/>
      <w:marTop w:val="0"/>
      <w:marBottom w:val="0"/>
      <w:divBdr>
        <w:top w:val="none" w:sz="0" w:space="0" w:color="auto"/>
        <w:left w:val="none" w:sz="0" w:space="0" w:color="auto"/>
        <w:bottom w:val="none" w:sz="0" w:space="0" w:color="auto"/>
        <w:right w:val="none" w:sz="0" w:space="0" w:color="auto"/>
      </w:divBdr>
    </w:div>
    <w:div w:id="1767771607">
      <w:bodyDiv w:val="1"/>
      <w:marLeft w:val="0"/>
      <w:marRight w:val="0"/>
      <w:marTop w:val="0"/>
      <w:marBottom w:val="0"/>
      <w:divBdr>
        <w:top w:val="none" w:sz="0" w:space="0" w:color="auto"/>
        <w:left w:val="none" w:sz="0" w:space="0" w:color="auto"/>
        <w:bottom w:val="none" w:sz="0" w:space="0" w:color="auto"/>
        <w:right w:val="none" w:sz="0" w:space="0" w:color="auto"/>
      </w:divBdr>
    </w:div>
    <w:div w:id="1844512284">
      <w:bodyDiv w:val="1"/>
      <w:marLeft w:val="0"/>
      <w:marRight w:val="0"/>
      <w:marTop w:val="0"/>
      <w:marBottom w:val="0"/>
      <w:divBdr>
        <w:top w:val="none" w:sz="0" w:space="0" w:color="auto"/>
        <w:left w:val="none" w:sz="0" w:space="0" w:color="auto"/>
        <w:bottom w:val="none" w:sz="0" w:space="0" w:color="auto"/>
        <w:right w:val="none" w:sz="0" w:space="0" w:color="auto"/>
      </w:divBdr>
    </w:div>
    <w:div w:id="1918393293">
      <w:bodyDiv w:val="1"/>
      <w:marLeft w:val="0"/>
      <w:marRight w:val="0"/>
      <w:marTop w:val="0"/>
      <w:marBottom w:val="0"/>
      <w:divBdr>
        <w:top w:val="none" w:sz="0" w:space="0" w:color="auto"/>
        <w:left w:val="none" w:sz="0" w:space="0" w:color="auto"/>
        <w:bottom w:val="none" w:sz="0" w:space="0" w:color="auto"/>
        <w:right w:val="none" w:sz="0" w:space="0" w:color="auto"/>
      </w:divBdr>
    </w:div>
    <w:div w:id="20984013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FAAD0-5C5F-7C49-A7DE-C7327993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103</Pages>
  <Words>23945</Words>
  <Characters>136490</Characters>
  <Application>Microsoft Macintosh Word</Application>
  <DocSecurity>0</DocSecurity>
  <Lines>1137</Lines>
  <Paragraphs>272</Paragraphs>
  <ScaleCrop>false</ScaleCrop>
  <Company>GRi.D</Company>
  <LinksUpToDate>false</LinksUpToDate>
  <CharactersWithSpaces>167619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services review annual report 2013–14</dc:title>
  <dc:subject/>
  <dc:creator>Kathie  Griffiths</dc:creator>
  <cp:keywords/>
  <cp:lastModifiedBy>Kathie  Griffiths</cp:lastModifiedBy>
  <cp:revision>38</cp:revision>
  <dcterms:created xsi:type="dcterms:W3CDTF">2014-10-17T05:50:00Z</dcterms:created>
  <dcterms:modified xsi:type="dcterms:W3CDTF">2014-10-27T06:29:00Z</dcterms:modified>
</cp:coreProperties>
</file>